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2362ED" w:rsidRPr="006951B7" w14:paraId="7B3EDE8C" w14:textId="77777777" w:rsidTr="00284149">
        <w:trPr>
          <w:trHeight w:val="2552"/>
        </w:trPr>
        <w:tc>
          <w:tcPr>
            <w:tcW w:w="4786" w:type="dxa"/>
            <w:hideMark/>
          </w:tcPr>
          <w:p w14:paraId="4DE47584" w14:textId="77777777" w:rsidR="002362ED" w:rsidRPr="001866BD" w:rsidRDefault="002362ED" w:rsidP="00EB61C0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1866BD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4536" w:type="dxa"/>
            <w:hideMark/>
          </w:tcPr>
          <w:p w14:paraId="507D17DA" w14:textId="77777777" w:rsidR="002362ED" w:rsidRPr="006951B7" w:rsidRDefault="002362ED" w:rsidP="00EB61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6A08EA4C" w14:textId="77777777" w:rsidR="002362ED" w:rsidRPr="006951B7" w:rsidRDefault="002362ED" w:rsidP="00EB61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73115939" w14:textId="77777777" w:rsidR="002362ED" w:rsidRPr="006951B7" w:rsidRDefault="002362ED" w:rsidP="00EB61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РГУ «Комитет медицинского и фармацевтического контроля</w:t>
            </w:r>
          </w:p>
          <w:p w14:paraId="7B98C3F5" w14:textId="77777777" w:rsidR="002362ED" w:rsidRPr="006951B7" w:rsidRDefault="002362ED" w:rsidP="00EB61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Министерства здравоохранения </w:t>
            </w:r>
          </w:p>
          <w:p w14:paraId="2EA28FB5" w14:textId="77777777" w:rsidR="002362ED" w:rsidRPr="006951B7" w:rsidRDefault="002362ED" w:rsidP="00EB61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Республики Казахстан»</w:t>
            </w:r>
          </w:p>
          <w:p w14:paraId="3F9C341E" w14:textId="77777777" w:rsidR="001872D8" w:rsidRPr="001872D8" w:rsidRDefault="001872D8" w:rsidP="001872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872D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от «</w:t>
            </w:r>
            <w:proofErr w:type="gramStart"/>
            <w:r w:rsidRPr="001872D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15»   </w:t>
            </w:r>
            <w:proofErr w:type="gramEnd"/>
            <w:r w:rsidRPr="001872D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07   2024 г.</w:t>
            </w:r>
          </w:p>
          <w:p w14:paraId="36817B2C" w14:textId="66884BCC" w:rsidR="002362ED" w:rsidRPr="006951B7" w:rsidRDefault="001872D8" w:rsidP="001872D8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1872D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№N076868</w:t>
            </w:r>
          </w:p>
        </w:tc>
        <w:tc>
          <w:tcPr>
            <w:tcW w:w="4536" w:type="dxa"/>
          </w:tcPr>
          <w:p w14:paraId="205F1895" w14:textId="77777777" w:rsidR="002362ED" w:rsidRPr="006951B7" w:rsidRDefault="002362ED" w:rsidP="00EB61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62ED" w:rsidRPr="006951B7" w14:paraId="6647F686" w14:textId="77777777" w:rsidTr="00EB61C0">
        <w:tc>
          <w:tcPr>
            <w:tcW w:w="4786" w:type="dxa"/>
          </w:tcPr>
          <w:p w14:paraId="35EC9992" w14:textId="77777777" w:rsidR="002362ED" w:rsidRPr="006951B7" w:rsidRDefault="002362ED" w:rsidP="00EB61C0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0CC417E" w14:textId="77777777" w:rsidR="00284149" w:rsidRPr="006951B7" w:rsidRDefault="00284149" w:rsidP="00EB61C0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6F9553E" w14:textId="77777777" w:rsidR="002362ED" w:rsidRPr="006951B7" w:rsidRDefault="002362ED" w:rsidP="00EB61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71C96C10" w14:textId="77777777" w:rsidR="00284149" w:rsidRPr="006951B7" w:rsidRDefault="00284149" w:rsidP="002841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5743858A" w14:textId="77777777" w:rsidR="008545D4" w:rsidRPr="006951B7" w:rsidRDefault="008545D4" w:rsidP="00AE31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66F658" w14:textId="77777777" w:rsidR="00280121" w:rsidRPr="006951B7" w:rsidRDefault="00DB406A" w:rsidP="00AE31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0D056770" w14:textId="77777777" w:rsidR="00036F60" w:rsidRPr="006951B7" w:rsidRDefault="00635827" w:rsidP="00AE31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30752470"/>
      <w:r w:rsidRPr="006951B7">
        <w:rPr>
          <w:rFonts w:ascii="Times New Roman" w:hAnsi="Times New Roman"/>
          <w:sz w:val="24"/>
          <w:szCs w:val="24"/>
        </w:rPr>
        <w:t xml:space="preserve">Ферро </w:t>
      </w:r>
      <w:proofErr w:type="spellStart"/>
      <w:r w:rsidRPr="006951B7">
        <w:rPr>
          <w:rFonts w:ascii="Times New Roman" w:hAnsi="Times New Roman"/>
          <w:sz w:val="24"/>
          <w:szCs w:val="24"/>
        </w:rPr>
        <w:t>Витале</w:t>
      </w:r>
      <w:proofErr w:type="spellEnd"/>
      <w:r w:rsidR="00036F60" w:rsidRPr="006951B7">
        <w:rPr>
          <w:rFonts w:ascii="Times New Roman" w:hAnsi="Times New Roman"/>
          <w:sz w:val="24"/>
          <w:szCs w:val="24"/>
        </w:rPr>
        <w:t>,</w:t>
      </w:r>
      <w:r w:rsidR="00036F60"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F79"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20 мг/мл, 5 мл, </w:t>
      </w:r>
      <w:r w:rsidR="00036F60"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раствор для внутривенного введения </w:t>
      </w:r>
    </w:p>
    <w:p w14:paraId="235DE285" w14:textId="77777777" w:rsidR="009D3875" w:rsidRPr="006951B7" w:rsidRDefault="009D3875" w:rsidP="00AE31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C7CFF2" w14:textId="77777777" w:rsidR="003C07E3" w:rsidRPr="006951B7" w:rsidRDefault="003C07E3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2175220285"/>
      <w:bookmarkStart w:id="2" w:name="OCRUncertain022"/>
      <w:bookmarkEnd w:id="0"/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1"/>
    <w:p w14:paraId="038169A2" w14:textId="77777777" w:rsidR="001872CE" w:rsidRPr="006951B7" w:rsidRDefault="001872CE" w:rsidP="00AE31A4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951B7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695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6BE22DA" w14:textId="77777777" w:rsidR="00036F60" w:rsidRPr="006951B7" w:rsidRDefault="00AE31A4" w:rsidP="00AE31A4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Ж</w:t>
      </w:r>
      <w:r w:rsidR="00036F60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елезо (</w:t>
      </w:r>
      <w:r w:rsidR="00036F60" w:rsidRPr="006951B7">
        <w:rPr>
          <w:rFonts w:ascii="Times New Roman" w:eastAsia="Times New Roman" w:hAnsi="Times New Roman"/>
          <w:bCs/>
          <w:sz w:val="24"/>
          <w:szCs w:val="24"/>
          <w:lang w:val="en-GB" w:eastAsia="ru-RU"/>
        </w:rPr>
        <w:t>III</w:t>
      </w:r>
      <w:r w:rsidR="00036F60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</w:p>
    <w:p w14:paraId="174BC51D" w14:textId="77777777" w:rsidR="00D60C5A" w:rsidRPr="006951B7" w:rsidRDefault="00D60C5A" w:rsidP="00AE31A4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6951B7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50D59AB0" w14:textId="77777777" w:rsidR="00036F60" w:rsidRPr="006951B7" w:rsidRDefault="00036F60" w:rsidP="00AE31A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1 мл препарата содержит</w:t>
      </w:r>
    </w:p>
    <w:p w14:paraId="2D9C31C6" w14:textId="77777777" w:rsidR="00036F60" w:rsidRPr="006951B7" w:rsidRDefault="00036F60" w:rsidP="00AE31A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– </w:t>
      </w:r>
      <w:r w:rsidR="00635827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железа сахарозы эквивалентно железу (III) 20.0 мг.</w:t>
      </w:r>
    </w:p>
    <w:p w14:paraId="5C2E389E" w14:textId="77777777" w:rsidR="00635827" w:rsidRPr="006951B7" w:rsidRDefault="00635827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>Вспомогательные вещества, наличие которых надо учитывать в составе лекарственного препарата: натрия гидроксид.</w:t>
      </w:r>
    </w:p>
    <w:p w14:paraId="743EEE5F" w14:textId="77777777" w:rsidR="00BB5008" w:rsidRPr="006951B7" w:rsidRDefault="005F43B6" w:rsidP="00F40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>Полный список вспомогательных веществ см. в пункте 6.1</w:t>
      </w:r>
    </w:p>
    <w:p w14:paraId="2D4B9EB6" w14:textId="77777777" w:rsidR="00EF2BAC" w:rsidRPr="006951B7" w:rsidRDefault="00EF2BAC" w:rsidP="00F40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46AAF" w14:textId="77777777" w:rsidR="00B7231F" w:rsidRPr="006951B7" w:rsidRDefault="00B7231F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14:paraId="2F4D88C0" w14:textId="77777777" w:rsidR="00B7231F" w:rsidRPr="006951B7" w:rsidRDefault="00036F60" w:rsidP="00AE31A4">
      <w:pPr>
        <w:pStyle w:val="Default"/>
        <w:jc w:val="both"/>
        <w:rPr>
          <w:lang w:eastAsia="ru-RU"/>
        </w:rPr>
      </w:pPr>
      <w:r w:rsidRPr="006951B7">
        <w:rPr>
          <w:lang w:eastAsia="ru-RU"/>
        </w:rPr>
        <w:t>Раствор для внутривенного введения</w:t>
      </w:r>
      <w:r w:rsidR="00EC761C" w:rsidRPr="006951B7">
        <w:rPr>
          <w:lang w:eastAsia="ru-RU"/>
        </w:rPr>
        <w:t>.</w:t>
      </w:r>
    </w:p>
    <w:p w14:paraId="4C840B09" w14:textId="77777777" w:rsidR="00036F60" w:rsidRPr="006951B7" w:rsidRDefault="005313FF" w:rsidP="00AE31A4">
      <w:pPr>
        <w:pStyle w:val="Default"/>
        <w:jc w:val="both"/>
        <w:rPr>
          <w:bCs/>
          <w:snapToGrid w:val="0"/>
          <w:lang w:eastAsia="ru-RU"/>
        </w:rPr>
      </w:pPr>
      <w:r w:rsidRPr="006951B7">
        <w:rPr>
          <w:bCs/>
          <w:snapToGrid w:val="0"/>
          <w:lang w:eastAsia="ru-RU"/>
        </w:rPr>
        <w:t>Коричневый водный коллоидный раствор.</w:t>
      </w:r>
    </w:p>
    <w:p w14:paraId="00A83795" w14:textId="77777777" w:rsidR="005313FF" w:rsidRPr="006951B7" w:rsidRDefault="005313FF" w:rsidP="00AE31A4">
      <w:pPr>
        <w:pStyle w:val="Default"/>
        <w:jc w:val="both"/>
        <w:rPr>
          <w:b/>
          <w:bCs/>
          <w:snapToGrid w:val="0"/>
          <w:lang w:eastAsia="ru-RU"/>
        </w:rPr>
      </w:pPr>
    </w:p>
    <w:p w14:paraId="50690467" w14:textId="77777777" w:rsidR="00AE31A4" w:rsidRPr="006951B7" w:rsidRDefault="00B7231F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2"/>
      <w:r w:rsidR="00384EFD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67DAC2E0" w14:textId="77777777" w:rsidR="005444B2" w:rsidRPr="006951B7" w:rsidRDefault="00B7231F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695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695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695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6951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4E73006A" w14:textId="77777777" w:rsidR="00036F60" w:rsidRPr="006951B7" w:rsidRDefault="008D4F2B" w:rsidP="00AE31A4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Препарат Ферро </w:t>
      </w:r>
      <w:proofErr w:type="spellStart"/>
      <w:r w:rsidRPr="006951B7">
        <w:rPr>
          <w:rFonts w:ascii="Times New Roman" w:hAnsi="Times New Roman"/>
          <w:sz w:val="24"/>
          <w:szCs w:val="24"/>
        </w:rPr>
        <w:t>Витале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применяется для лечения ж</w:t>
      </w:r>
      <w:r w:rsidR="00036F60" w:rsidRPr="006951B7">
        <w:rPr>
          <w:rFonts w:ascii="Times New Roman" w:hAnsi="Times New Roman"/>
          <w:sz w:val="24"/>
          <w:szCs w:val="24"/>
        </w:rPr>
        <w:t>елезодефицитн</w:t>
      </w:r>
      <w:r w:rsidR="00EC761C" w:rsidRPr="006951B7">
        <w:rPr>
          <w:rFonts w:ascii="Times New Roman" w:hAnsi="Times New Roman"/>
          <w:sz w:val="24"/>
          <w:szCs w:val="24"/>
        </w:rPr>
        <w:t>ой анемии</w:t>
      </w:r>
      <w:r w:rsidR="00036F60" w:rsidRPr="006951B7">
        <w:rPr>
          <w:rFonts w:ascii="Times New Roman" w:hAnsi="Times New Roman"/>
          <w:sz w:val="24"/>
          <w:szCs w:val="24"/>
        </w:rPr>
        <w:t xml:space="preserve"> </w:t>
      </w:r>
      <w:r w:rsidR="00EC761C" w:rsidRPr="006951B7">
        <w:rPr>
          <w:rFonts w:ascii="Times New Roman" w:hAnsi="Times New Roman"/>
          <w:sz w:val="24"/>
          <w:szCs w:val="24"/>
        </w:rPr>
        <w:t>в следующих случаях</w:t>
      </w:r>
      <w:r w:rsidR="00036F60" w:rsidRPr="006951B7">
        <w:rPr>
          <w:rFonts w:ascii="Times New Roman" w:hAnsi="Times New Roman"/>
          <w:sz w:val="24"/>
          <w:szCs w:val="24"/>
        </w:rPr>
        <w:t>:</w:t>
      </w:r>
    </w:p>
    <w:p w14:paraId="2CE3B1B5" w14:textId="77777777" w:rsidR="00EC761C" w:rsidRPr="006951B7" w:rsidRDefault="00EC761C" w:rsidP="00EC761C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2175220274"/>
      <w:r w:rsidRPr="006951B7">
        <w:rPr>
          <w:rFonts w:ascii="Times New Roman" w:hAnsi="Times New Roman"/>
          <w:sz w:val="24"/>
          <w:szCs w:val="24"/>
        </w:rPr>
        <w:t xml:space="preserve">- для лечения анемии у пациентов с хронической почечной недостаточностью, находящихся на гемодиализе, </w:t>
      </w:r>
      <w:proofErr w:type="spellStart"/>
      <w:r w:rsidRPr="006951B7">
        <w:rPr>
          <w:rFonts w:ascii="Times New Roman" w:hAnsi="Times New Roman"/>
          <w:sz w:val="24"/>
          <w:szCs w:val="24"/>
        </w:rPr>
        <w:t>преддиализе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6951B7">
        <w:rPr>
          <w:rFonts w:ascii="Times New Roman" w:hAnsi="Times New Roman"/>
          <w:sz w:val="24"/>
          <w:szCs w:val="24"/>
        </w:rPr>
        <w:t>перитонеальном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диализе, когда лечение пероральными препаратами железа оказалось недостаточным или плохо переносится;</w:t>
      </w:r>
    </w:p>
    <w:p w14:paraId="3625465E" w14:textId="77777777" w:rsidR="00EC761C" w:rsidRPr="006951B7" w:rsidRDefault="00EC761C" w:rsidP="00EC761C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- в предоперационной ситуации: у пациентов, включенных в программу </w:t>
      </w:r>
      <w:proofErr w:type="spellStart"/>
      <w:r w:rsidRPr="006951B7">
        <w:rPr>
          <w:rFonts w:ascii="Times New Roman" w:hAnsi="Times New Roman"/>
          <w:sz w:val="24"/>
          <w:szCs w:val="24"/>
        </w:rPr>
        <w:t>аутологичного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донорства крови в сочетании с эритропоэтином, при условии наличия у них умеренной анемии (</w:t>
      </w:r>
      <w:proofErr w:type="spellStart"/>
      <w:r w:rsidRPr="006951B7">
        <w:rPr>
          <w:rFonts w:ascii="Times New Roman" w:hAnsi="Times New Roman"/>
          <w:sz w:val="24"/>
          <w:szCs w:val="24"/>
        </w:rPr>
        <w:t>Hb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от 9 до 11 г/100 мл) и исходного уровня ферритина менее 150 мкг/л;</w:t>
      </w:r>
    </w:p>
    <w:p w14:paraId="4F096747" w14:textId="77777777" w:rsidR="00EC761C" w:rsidRPr="006951B7" w:rsidRDefault="00EC761C" w:rsidP="00EC761C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>- для лечения острой анемии в ближайшем послеоперационном периоде у пациентов, которые не могут получать пероральное питание;</w:t>
      </w:r>
    </w:p>
    <w:p w14:paraId="36CBF48C" w14:textId="77777777" w:rsidR="00EC761C" w:rsidRPr="006951B7" w:rsidRDefault="00EC761C" w:rsidP="00EC761C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- для лечения железодефицитной </w:t>
      </w:r>
      <w:proofErr w:type="spellStart"/>
      <w:r w:rsidRPr="006951B7">
        <w:rPr>
          <w:rFonts w:ascii="Times New Roman" w:hAnsi="Times New Roman"/>
          <w:sz w:val="24"/>
          <w:szCs w:val="24"/>
        </w:rPr>
        <w:t>гипосидеремической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анемии (</w:t>
      </w:r>
      <w:proofErr w:type="spellStart"/>
      <w:r w:rsidRPr="006951B7">
        <w:rPr>
          <w:rFonts w:ascii="Times New Roman" w:hAnsi="Times New Roman"/>
          <w:sz w:val="24"/>
          <w:szCs w:val="24"/>
        </w:rPr>
        <w:t>Hb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51B7">
        <w:rPr>
          <w:rFonts w:ascii="Times New Roman" w:hAnsi="Times New Roman"/>
          <w:sz w:val="24"/>
          <w:szCs w:val="24"/>
        </w:rPr>
        <w:t>&lt; 10</w:t>
      </w:r>
      <w:proofErr w:type="gramEnd"/>
      <w:r w:rsidRPr="006951B7">
        <w:rPr>
          <w:rFonts w:ascii="Times New Roman" w:hAnsi="Times New Roman"/>
          <w:sz w:val="24"/>
          <w:szCs w:val="24"/>
        </w:rPr>
        <w:t>,5 г/100 мл), связанной с тяжелыми хроническими воспалительными заболеваниями кишечника, когда пероральное лечение не подходит.</w:t>
      </w:r>
    </w:p>
    <w:p w14:paraId="49716BF6" w14:textId="77777777" w:rsidR="00F40BDD" w:rsidRPr="006951B7" w:rsidRDefault="00EC761C" w:rsidP="00EC761C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Ферро </w:t>
      </w:r>
      <w:proofErr w:type="spellStart"/>
      <w:r w:rsidRPr="006951B7">
        <w:rPr>
          <w:rFonts w:ascii="Times New Roman" w:hAnsi="Times New Roman"/>
          <w:sz w:val="24"/>
          <w:szCs w:val="24"/>
        </w:rPr>
        <w:t>Витале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следует назначать только в том случае, если показания подтверждены соответствующими тестами.</w:t>
      </w:r>
    </w:p>
    <w:p w14:paraId="1F4792B0" w14:textId="77777777" w:rsidR="00EC761C" w:rsidRPr="006951B7" w:rsidRDefault="00EC761C" w:rsidP="00EC761C">
      <w:pPr>
        <w:tabs>
          <w:tab w:val="left" w:pos="538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D32702" w14:textId="77777777" w:rsidR="00B7231F" w:rsidRPr="006951B7" w:rsidRDefault="00B7231F" w:rsidP="00AE31A4">
      <w:pPr>
        <w:tabs>
          <w:tab w:val="left" w:pos="538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  <w:r w:rsidR="003F423E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1A8C2CA1" w14:textId="77777777" w:rsidR="003F423E" w:rsidRPr="006951B7" w:rsidRDefault="003F423E" w:rsidP="00AE31A4">
      <w:pPr>
        <w:tabs>
          <w:tab w:val="left" w:pos="53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951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lastRenderedPageBreak/>
        <w:t xml:space="preserve">Необходимо внимательно следить за появлением у пациентов симптомов и признаков реакций повышенной чувствительности во время и после каждого применения </w:t>
      </w:r>
      <w:r w:rsidR="004A22E9" w:rsidRPr="006951B7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>Ферро Витале</w:t>
      </w:r>
      <w:r w:rsidR="00AE31A4" w:rsidRPr="006951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14:paraId="0E98D91C" w14:textId="77777777" w:rsidR="003F423E" w:rsidRPr="006951B7" w:rsidRDefault="004A22E9" w:rsidP="00AE31A4">
      <w:pPr>
        <w:tabs>
          <w:tab w:val="left" w:pos="53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951B7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>Ферро Витале</w:t>
      </w:r>
      <w:r w:rsidR="003F423E" w:rsidRPr="006951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необходимо применять только в присутствии медицинских работников, обученных оценке и оказанию помощи при анафилактических реакциях, в условиях медицинского центра, в котором имеются все средства и оборудование для реанимации. Необходимо тщательное наблюдение за состоянием пациента в течение как минимум 30 минут после каждого введения </w:t>
      </w:r>
      <w:r w:rsidRPr="006951B7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>Ферро Витале</w:t>
      </w:r>
      <w:r w:rsidR="003F423E" w:rsidRPr="006951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на предмет появления любых нежелательных эффектов</w:t>
      </w:r>
      <w:r w:rsidRPr="006951B7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 xml:space="preserve"> </w:t>
      </w:r>
      <w:r w:rsidRPr="006951B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(см. раздел 4.4)</w:t>
      </w:r>
    </w:p>
    <w:bookmarkEnd w:id="4"/>
    <w:p w14:paraId="18CDB8A1" w14:textId="77777777" w:rsidR="00EC761C" w:rsidRPr="006951B7" w:rsidRDefault="00EC761C" w:rsidP="00EC761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Дозировка на одну инъекцию </w:t>
      </w:r>
      <w:r w:rsidR="009317AA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 взрослых </w:t>
      </w: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не должна превышать 300 мг.</w:t>
      </w:r>
    </w:p>
    <w:p w14:paraId="2730A778" w14:textId="77777777" w:rsidR="00EC761C" w:rsidRPr="006951B7" w:rsidRDefault="00EC761C" w:rsidP="00EC761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Общая вводимая доза и частота инъекций зависят от веса, уровня гемоглобина, базального уровня ферритина и ожидаемой потери железа.</w:t>
      </w:r>
    </w:p>
    <w:p w14:paraId="10957C2A" w14:textId="77777777" w:rsidR="00EC761C" w:rsidRPr="006951B7" w:rsidRDefault="00EC761C" w:rsidP="00EC761C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951B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Хроническая почечная недостаточность</w:t>
      </w:r>
    </w:p>
    <w:p w14:paraId="51C91B5E" w14:textId="77777777" w:rsidR="00EC761C" w:rsidRPr="006951B7" w:rsidRDefault="00EC761C" w:rsidP="00EC761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- </w:t>
      </w:r>
      <w:r w:rsidR="0087305B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ак только выражены биологические признаки недостаточного восполнения запасов железа (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ферритинемия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&lt;100 мкг/л, насыщение трансферрина &lt;20%) и пероральная соль железа оказывается недостаточной или плохо переносится;</w:t>
      </w:r>
    </w:p>
    <w:p w14:paraId="2B2BC343" w14:textId="77777777" w:rsidR="00EC761C" w:rsidRPr="006951B7" w:rsidRDefault="00EC761C" w:rsidP="00EC761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- </w:t>
      </w:r>
      <w:r w:rsidR="0087305B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случае лечения эритропоэтином, когда запасы железа недостаточны для обеспечения оптимального 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эритропоэтического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ответа (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ферритинемия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&lt; 200</w:t>
      </w:r>
      <w:proofErr w:type="gram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мкг/л, насыщение трансферрина &lt; 25%), а пероральная соль железа оказывается недостаточной или плохо переносится</w:t>
      </w:r>
      <w:r w:rsidR="0087305B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48EE9A36" w14:textId="77777777" w:rsidR="00EC761C" w:rsidRPr="006951B7" w:rsidRDefault="00EC761C" w:rsidP="00EC761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- </w:t>
      </w:r>
      <w:r w:rsidR="0087305B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екомендуемая индукционная доза составляет от 2 до 4 мг железа/кг в неделю, т.е. от 5 до 10 мл </w:t>
      </w:r>
      <w:r w:rsidR="0087305B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Ферро </w:t>
      </w:r>
      <w:proofErr w:type="spellStart"/>
      <w:r w:rsidR="0087305B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Витале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(от 100 до 200 мг) в течение четырех-двенадцати недель в зависимости от степени восполнения дефицита.</w:t>
      </w:r>
    </w:p>
    <w:p w14:paraId="049EDE4A" w14:textId="77777777" w:rsidR="00EC761C" w:rsidRPr="006951B7" w:rsidRDefault="00EC761C" w:rsidP="00EC761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- </w:t>
      </w:r>
      <w:r w:rsidR="0087305B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качестве поддерживающего лечения, чтобы компенсировать потери железа, составляющие от 2 до 5 мг в день, можно вводить дозу 2 мг железа/кг один или два раза в месяц.</w:t>
      </w:r>
    </w:p>
    <w:p w14:paraId="5DC27A19" w14:textId="77777777" w:rsidR="00EC761C" w:rsidRPr="006951B7" w:rsidRDefault="00EC761C" w:rsidP="00AE31A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- </w:t>
      </w:r>
      <w:r w:rsidR="0087305B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э</w:t>
      </w: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волюцию запасов железа необходимо регулярно контролировать путем измерения 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ферритинемии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скорости насыщения трансферрина.</w:t>
      </w:r>
    </w:p>
    <w:p w14:paraId="08D2FA49" w14:textId="77777777" w:rsidR="008545D4" w:rsidRPr="006951B7" w:rsidRDefault="008545D4" w:rsidP="00AE31A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i/>
          <w:sz w:val="24"/>
          <w:szCs w:val="24"/>
          <w:lang w:eastAsia="ru-RU"/>
        </w:rPr>
        <w:t>Расчет дозировки</w:t>
      </w:r>
    </w:p>
    <w:p w14:paraId="20D876E6" w14:textId="77777777" w:rsidR="008545D4" w:rsidRPr="006951B7" w:rsidRDefault="008545D4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кумулятивная доза препарата </w:t>
      </w:r>
      <w:r w:rsidR="004A22E9" w:rsidRPr="006951B7">
        <w:rPr>
          <w:rFonts w:ascii="Times New Roman" w:eastAsia="Times New Roman" w:hAnsi="Times New Roman"/>
          <w:sz w:val="24"/>
          <w:szCs w:val="24"/>
          <w:lang w:val="kk-KZ" w:eastAsia="ru-RU"/>
        </w:rPr>
        <w:t>Ферро Витале</w:t>
      </w:r>
      <w:r w:rsidR="005C1377"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эквивалентная общему дефициту железа (мг), определяется на основании уровня гемоглобина (</w:t>
      </w:r>
      <w:r w:rsidRPr="006951B7">
        <w:rPr>
          <w:rFonts w:ascii="Times New Roman" w:eastAsia="Times New Roman" w:hAnsi="Times New Roman"/>
          <w:sz w:val="24"/>
          <w:szCs w:val="24"/>
          <w:lang w:val="en-GB" w:eastAsia="ru-RU"/>
        </w:rPr>
        <w:t>Hb</w:t>
      </w:r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) и массы тела (МТ). Дозу препарата </w:t>
      </w:r>
      <w:r w:rsidR="004A22E9"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Ферро </w:t>
      </w:r>
      <w:proofErr w:type="spellStart"/>
      <w:r w:rsidR="004A22E9" w:rsidRPr="006951B7">
        <w:rPr>
          <w:rFonts w:ascii="Times New Roman" w:eastAsia="Times New Roman" w:hAnsi="Times New Roman"/>
          <w:sz w:val="24"/>
          <w:szCs w:val="24"/>
          <w:lang w:eastAsia="ru-RU"/>
        </w:rPr>
        <w:t>Витале</w:t>
      </w:r>
      <w:proofErr w:type="spellEnd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индивидуально рассчитывать для каждого пациента в соответствии с общим дефицитом железа, рассчитанным по нижеприведенной формуле </w:t>
      </w:r>
      <w:proofErr w:type="spellStart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Ганзони</w:t>
      </w:r>
      <w:proofErr w:type="spellEnd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, например:</w:t>
      </w: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4819"/>
      </w:tblGrid>
      <w:tr w:rsidR="008545D4" w:rsidRPr="006951B7" w14:paraId="1E746BC7" w14:textId="77777777" w:rsidTr="00863B29">
        <w:tc>
          <w:tcPr>
            <w:tcW w:w="9072" w:type="dxa"/>
            <w:gridSpan w:val="3"/>
            <w:tcMar>
              <w:top w:w="68" w:type="dxa"/>
              <w:bottom w:w="68" w:type="dxa"/>
            </w:tcMar>
          </w:tcPr>
          <w:p w14:paraId="2B5607C2" w14:textId="77777777" w:rsidR="008545D4" w:rsidRPr="006951B7" w:rsidRDefault="008545D4" w:rsidP="00AE3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Общий дефицит железа [мг] = масса тела [кг] × (целевой уровень </w:t>
            </w: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Hb</w:t>
            </w: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фактический уровень </w:t>
            </w: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Hb</w:t>
            </w: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 [г/л] х 2</w:t>
            </w:r>
            <w:r w:rsidR="00E84305" w:rsidRPr="006951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4* + депонированное железо [мг]</w:t>
            </w:r>
          </w:p>
        </w:tc>
      </w:tr>
      <w:tr w:rsidR="008545D4" w:rsidRPr="006951B7" w14:paraId="13859909" w14:textId="77777777" w:rsidTr="00863B29">
        <w:trPr>
          <w:trHeight w:val="281"/>
        </w:trPr>
        <w:tc>
          <w:tcPr>
            <w:tcW w:w="2694" w:type="dxa"/>
            <w:tcMar>
              <w:top w:w="68" w:type="dxa"/>
              <w:bottom w:w="68" w:type="dxa"/>
            </w:tcMar>
          </w:tcPr>
          <w:p w14:paraId="73578403" w14:textId="77777777" w:rsidR="008545D4" w:rsidRPr="006951B7" w:rsidRDefault="008545D4" w:rsidP="00AE31A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массе тела менее 35 кг:</w:t>
            </w:r>
          </w:p>
        </w:tc>
        <w:tc>
          <w:tcPr>
            <w:tcW w:w="6378" w:type="dxa"/>
            <w:gridSpan w:val="2"/>
            <w:tcMar>
              <w:top w:w="68" w:type="dxa"/>
              <w:bottom w:w="68" w:type="dxa"/>
            </w:tcMar>
          </w:tcPr>
          <w:p w14:paraId="7F70554E" w14:textId="77777777" w:rsidR="008545D4" w:rsidRPr="006951B7" w:rsidRDefault="008545D4" w:rsidP="00AE3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уровень 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Hb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13 г/</w:t>
            </w:r>
            <w:proofErr w:type="spellStart"/>
            <w:r w:rsidR="0071796E"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количество депонированного железа = 15 мг/кг массы тела</w:t>
            </w:r>
          </w:p>
        </w:tc>
      </w:tr>
      <w:tr w:rsidR="008545D4" w:rsidRPr="006951B7" w14:paraId="3650A177" w14:textId="77777777" w:rsidTr="00863B29">
        <w:tc>
          <w:tcPr>
            <w:tcW w:w="2694" w:type="dxa"/>
            <w:tcMar>
              <w:top w:w="68" w:type="dxa"/>
              <w:bottom w:w="68" w:type="dxa"/>
            </w:tcMar>
          </w:tcPr>
          <w:p w14:paraId="074C9FF3" w14:textId="77777777" w:rsidR="008545D4" w:rsidRPr="006951B7" w:rsidRDefault="008545D4" w:rsidP="00AE31A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массе тела 35 кг и более:</w:t>
            </w:r>
          </w:p>
        </w:tc>
        <w:tc>
          <w:tcPr>
            <w:tcW w:w="6378" w:type="dxa"/>
            <w:gridSpan w:val="2"/>
            <w:tcMar>
              <w:top w:w="68" w:type="dxa"/>
              <w:bottom w:w="68" w:type="dxa"/>
            </w:tcMar>
          </w:tcPr>
          <w:p w14:paraId="21A0F12A" w14:textId="77777777" w:rsidR="008545D4" w:rsidRPr="006951B7" w:rsidRDefault="008545D4" w:rsidP="00AE3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уровень 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Hb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15 г/</w:t>
            </w:r>
            <w:proofErr w:type="spellStart"/>
            <w:r w:rsidR="0071796E"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количество депонированного железа = 500 мг</w:t>
            </w:r>
          </w:p>
        </w:tc>
      </w:tr>
      <w:tr w:rsidR="008545D4" w:rsidRPr="006951B7" w14:paraId="4B4403C6" w14:textId="77777777" w:rsidTr="00863B29">
        <w:tc>
          <w:tcPr>
            <w:tcW w:w="9072" w:type="dxa"/>
            <w:gridSpan w:val="3"/>
            <w:tcMar>
              <w:top w:w="68" w:type="dxa"/>
              <w:bottom w:w="68" w:type="dxa"/>
            </w:tcMar>
          </w:tcPr>
          <w:p w14:paraId="4E4F1777" w14:textId="77777777" w:rsidR="008545D4" w:rsidRPr="006951B7" w:rsidRDefault="008545D4" w:rsidP="00AE3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Коэффициент 2</w:t>
            </w:r>
            <w:r w:rsidR="00E84305"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= 0</w:t>
            </w:r>
            <w:r w:rsidR="00E84305"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0034 (содержание железа в 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Hb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0</w:t>
            </w:r>
            <w:r w:rsidR="00E84305"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34%) ×</w:t>
            </w:r>
            <w:r w:rsidR="0071796E"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84305"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(объем крови = 7% от массы тела) × 1000 (перевод из [г] в [мг]) × 10</w:t>
            </w:r>
          </w:p>
        </w:tc>
      </w:tr>
      <w:tr w:rsidR="008545D4" w:rsidRPr="006951B7" w14:paraId="7E319707" w14:textId="77777777" w:rsidTr="00863B29">
        <w:trPr>
          <w:trHeight w:val="966"/>
        </w:trPr>
        <w:tc>
          <w:tcPr>
            <w:tcW w:w="4253" w:type="dxa"/>
            <w:gridSpan w:val="2"/>
            <w:tcMar>
              <w:top w:w="68" w:type="dxa"/>
              <w:bottom w:w="68" w:type="dxa"/>
            </w:tcMar>
            <w:vAlign w:val="center"/>
          </w:tcPr>
          <w:p w14:paraId="0B51B114" w14:textId="77777777" w:rsidR="008545D4" w:rsidRPr="006951B7" w:rsidRDefault="008545D4" w:rsidP="00AE3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Общее количество препарата </w:t>
            </w:r>
            <w:r w:rsidR="004A22E9"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Ферро </w:t>
            </w:r>
            <w:proofErr w:type="spellStart"/>
            <w:r w:rsidR="004A22E9"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Витале</w:t>
            </w:r>
            <w:proofErr w:type="spellEnd"/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которое следует       =</w:t>
            </w:r>
          </w:p>
          <w:p w14:paraId="58030031" w14:textId="77777777" w:rsidR="008545D4" w:rsidRPr="006951B7" w:rsidRDefault="008545D4" w:rsidP="00AE3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ввести (в мл)</w:t>
            </w:r>
          </w:p>
        </w:tc>
        <w:tc>
          <w:tcPr>
            <w:tcW w:w="4819" w:type="dxa"/>
            <w:tcMar>
              <w:top w:w="68" w:type="dxa"/>
              <w:bottom w:w="68" w:type="dxa"/>
            </w:tcMar>
            <w:vAlign w:val="center"/>
          </w:tcPr>
          <w:p w14:paraId="062B2CEC" w14:textId="77777777" w:rsidR="008545D4" w:rsidRPr="006951B7" w:rsidRDefault="008545D4" w:rsidP="00AE3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14:paraId="41671A66" w14:textId="77777777" w:rsidR="008545D4" w:rsidRPr="006951B7" w:rsidRDefault="008545D4" w:rsidP="00AE3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Общий дефицит железа [мг]</w:t>
            </w:r>
          </w:p>
          <w:p w14:paraId="2B6C8B87" w14:textId="77777777" w:rsidR="008545D4" w:rsidRPr="006951B7" w:rsidRDefault="008545D4" w:rsidP="00AE31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 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 железа/мл</w:t>
            </w:r>
          </w:p>
        </w:tc>
      </w:tr>
    </w:tbl>
    <w:p w14:paraId="4F7BD157" w14:textId="77777777" w:rsidR="0087305B" w:rsidRPr="006951B7" w:rsidRDefault="0087305B" w:rsidP="00AE31A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C1AE2BA" w14:textId="77777777" w:rsidR="0087305B" w:rsidRPr="006951B7" w:rsidRDefault="0087305B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951B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Программа предоперационного донорства </w:t>
      </w:r>
      <w:proofErr w:type="spellStart"/>
      <w:r w:rsidRPr="006951B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аутологичной</w:t>
      </w:r>
      <w:proofErr w:type="spellEnd"/>
      <w:r w:rsidRPr="006951B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 крови с эритропоэтином</w:t>
      </w:r>
    </w:p>
    <w:p w14:paraId="0E78D789" w14:textId="77777777" w:rsidR="0087305B" w:rsidRPr="006951B7" w:rsidRDefault="0087305B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- Добавки железа показаны только в том случае, если запасы железа недостаточны для компенсации ожидаемой потери железа: ферритин сыворотки </w:t>
      </w:r>
      <w:proofErr w:type="gram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&lt; 150</w:t>
      </w:r>
      <w:proofErr w:type="gram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мкг/л.</w:t>
      </w:r>
    </w:p>
    <w:p w14:paraId="4CF14DB4" w14:textId="77777777" w:rsidR="0087305B" w:rsidRPr="006951B7" w:rsidRDefault="0087305B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- Для учета времени, необходимого для эритропоэза, лечение препаратами железа желательно начинать не позднее, чем за две недели до первого забора крови.</w:t>
      </w:r>
    </w:p>
    <w:p w14:paraId="603ECF4D" w14:textId="77777777" w:rsidR="0087305B" w:rsidRPr="006951B7" w:rsidRDefault="0087305B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- Рекомендуемая дозировка составляет от 2 до 3 мг/кг (200 мг для взрослых) в неделю в течение пяти недель. Максимальная совокупная доза не должна превышать 15 мг/кг.</w:t>
      </w:r>
    </w:p>
    <w:p w14:paraId="64A39FCD" w14:textId="77777777" w:rsidR="0087305B" w:rsidRPr="006951B7" w:rsidRDefault="0087305B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951B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Расчет поддерживающей дозы при донорстве </w:t>
      </w:r>
      <w:proofErr w:type="spellStart"/>
      <w:r w:rsidRPr="006951B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аутологичной</w:t>
      </w:r>
      <w:proofErr w:type="spellEnd"/>
      <w:r w:rsidRPr="006951B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 крови</w:t>
      </w:r>
    </w:p>
    <w:p w14:paraId="74366BB6" w14:textId="77777777" w:rsidR="0087305B" w:rsidRPr="006951B7" w:rsidRDefault="0087305B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Дозу Ферро 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Витале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, необходимую для восполнения дефицита железа, можно рассчитать по следующим формулам.</w:t>
      </w:r>
    </w:p>
    <w:p w14:paraId="66CF2910" w14:textId="77777777" w:rsidR="0087305B" w:rsidRPr="006951B7" w:rsidRDefault="0087305B" w:rsidP="0087305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Если известно количество потерянной крови:</w:t>
      </w:r>
    </w:p>
    <w:p w14:paraId="34674612" w14:textId="77777777" w:rsidR="0087305B" w:rsidRPr="006951B7" w:rsidRDefault="0087305B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введение 200 мг железа (10 мл Ферро 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Витале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должно привести к увеличению гемоглобина, эквивалентному введению одной единицы крови (400 мл с 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Hb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= 15 г/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дл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).</w:t>
      </w:r>
    </w:p>
    <w:p w14:paraId="78F7F2A8" w14:textId="77777777" w:rsidR="0087305B" w:rsidRPr="006951B7" w:rsidRDefault="0087305B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Количество железа для замены [мг] = количество потерянных единиц крови </w:t>
      </w:r>
      <w:r w:rsidR="0071796E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×</w:t>
      </w: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200 мг или</w:t>
      </w:r>
    </w:p>
    <w:p w14:paraId="5B251A3B" w14:textId="77777777" w:rsidR="0087305B" w:rsidRPr="006951B7" w:rsidRDefault="0087305B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Необходимое количество Ферро 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Витале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[мл] = количество единиц потерянной крови </w:t>
      </w:r>
      <w:r w:rsidR="0071796E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×</w:t>
      </w: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10 мл</w:t>
      </w:r>
    </w:p>
    <w:p w14:paraId="396C255F" w14:textId="77777777" w:rsidR="0087305B" w:rsidRPr="006951B7" w:rsidRDefault="0087305B" w:rsidP="0087305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Если уровень 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Hb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ниже желаемого уровня: формула предполагает, что запасы железа не нуждаются в восстановлении.</w:t>
      </w:r>
    </w:p>
    <w:p w14:paraId="04E2827C" w14:textId="77777777" w:rsidR="0087305B" w:rsidRPr="006951B7" w:rsidRDefault="0087305B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Количество железа для замены [мг] = масса тела [кг] </w:t>
      </w:r>
      <w:r w:rsidR="0071796E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×</w:t>
      </w: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2,4 </w:t>
      </w:r>
      <w:r w:rsidR="0071796E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×</w:t>
      </w: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(целевой уровень гемоглобина – текущий уровень гемоглобина) [г/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дл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].</w:t>
      </w:r>
    </w:p>
    <w:p w14:paraId="00B481C7" w14:textId="77777777" w:rsidR="00D448E6" w:rsidRPr="006951B7" w:rsidRDefault="00D448E6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786"/>
        <w:gridCol w:w="4501"/>
      </w:tblGrid>
      <w:tr w:rsidR="0087305B" w:rsidRPr="006951B7" w14:paraId="1B2361B2" w14:textId="77777777" w:rsidTr="00D448E6">
        <w:tc>
          <w:tcPr>
            <w:tcW w:w="4786" w:type="dxa"/>
            <w:vMerge w:val="restart"/>
          </w:tcPr>
          <w:p w14:paraId="27E361A6" w14:textId="77777777" w:rsidR="0087305B" w:rsidRPr="006951B7" w:rsidRDefault="0087305B" w:rsidP="00D44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Пример: для массы тела = 60 кг и дефицита гемоглобина 1 г/</w:t>
            </w:r>
            <w:proofErr w:type="spellStart"/>
            <w:r w:rsidRPr="0069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</w:t>
            </w:r>
            <w:proofErr w:type="spellEnd"/>
            <w:r w:rsidRPr="0069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501" w:type="dxa"/>
          </w:tcPr>
          <w:p w14:paraId="5925D32E" w14:textId="77777777" w:rsidR="0087305B" w:rsidRPr="006951B7" w:rsidRDefault="0087305B" w:rsidP="00873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51B7">
              <w:rPr>
                <w:rFonts w:ascii="Symbol" w:hAnsi="Symbol"/>
                <w:color w:val="000000"/>
                <w:sz w:val="20"/>
                <w:szCs w:val="20"/>
                <w:shd w:val="clear" w:color="auto" w:fill="FFFFFF"/>
                <w:lang w:val="en-US"/>
              </w:rPr>
              <w:t>Þ</w:t>
            </w:r>
            <w:r w:rsidRPr="006951B7">
              <w:rPr>
                <w:rFonts w:ascii="Symbol" w:hAnsi="Symbo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951B7">
              <w:rPr>
                <w:rFonts w:ascii="Symbol" w:hAnsi="Symbol"/>
                <w:color w:val="000000"/>
                <w:sz w:val="20"/>
                <w:szCs w:val="20"/>
                <w:shd w:val="clear" w:color="auto" w:fill="FFFFFF"/>
                <w:lang w:val="en-US"/>
              </w:rPr>
              <w:t>@</w:t>
            </w:r>
            <w:r w:rsidRPr="006951B7">
              <w:rPr>
                <w:rFonts w:ascii="Source Sans Pro" w:hAnsi="Source Sans Pro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9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150 мг железа для замены</w:t>
            </w:r>
          </w:p>
        </w:tc>
      </w:tr>
      <w:tr w:rsidR="0087305B" w:rsidRPr="006951B7" w14:paraId="336E07F8" w14:textId="77777777" w:rsidTr="00D448E6">
        <w:tc>
          <w:tcPr>
            <w:tcW w:w="4786" w:type="dxa"/>
            <w:vMerge/>
          </w:tcPr>
          <w:p w14:paraId="37679A85" w14:textId="77777777" w:rsidR="0087305B" w:rsidRPr="006951B7" w:rsidRDefault="0087305B" w:rsidP="00873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</w:tcPr>
          <w:p w14:paraId="1C9FA447" w14:textId="77777777" w:rsidR="0087305B" w:rsidRPr="006951B7" w:rsidRDefault="0087305B" w:rsidP="00873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51B7">
              <w:rPr>
                <w:rFonts w:ascii="Symbol" w:hAnsi="Symbol"/>
                <w:color w:val="000000"/>
                <w:sz w:val="20"/>
                <w:szCs w:val="20"/>
                <w:shd w:val="clear" w:color="auto" w:fill="FFFFFF"/>
                <w:lang w:val="en-US"/>
              </w:rPr>
              <w:t>Þ</w:t>
            </w:r>
            <w:r w:rsidRPr="006951B7">
              <w:rPr>
                <w:rFonts w:ascii="Symbol" w:hAnsi="Symbo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9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требуется</w:t>
            </w:r>
            <w:proofErr w:type="spellEnd"/>
            <w:r w:rsidRPr="0069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7,5 </w:t>
            </w:r>
            <w:proofErr w:type="spellStart"/>
            <w:r w:rsidRPr="0069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мл</w:t>
            </w:r>
            <w:proofErr w:type="spellEnd"/>
            <w:r w:rsidRPr="0069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448E6" w:rsidRPr="0069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Ферро </w:t>
            </w:r>
            <w:proofErr w:type="spellStart"/>
            <w:r w:rsidR="00D448E6" w:rsidRPr="0069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Витале</w:t>
            </w:r>
            <w:proofErr w:type="spellEnd"/>
          </w:p>
        </w:tc>
      </w:tr>
    </w:tbl>
    <w:p w14:paraId="1F347635" w14:textId="77777777" w:rsidR="00D448E6" w:rsidRPr="006951B7" w:rsidRDefault="00D448E6" w:rsidP="0087305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AA7A32D" w14:textId="77777777" w:rsidR="00D448E6" w:rsidRPr="006951B7" w:rsidRDefault="00D448E6" w:rsidP="00D448E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951B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Острая анемия в ближайший послеоперационный период у пациентов, неспособных получать пероральное питание</w:t>
      </w:r>
    </w:p>
    <w:p w14:paraId="4C2BB99B" w14:textId="77777777" w:rsidR="00D448E6" w:rsidRPr="006951B7" w:rsidRDefault="00D448E6" w:rsidP="00D448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Добавление железа в инъекционной форме можно рассмотреть, когда уровень гемоглобина падает ниже критического порога (9–10 г/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дл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 субъектов из группы риска, 7–8 г/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дл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 нормальных субъектов).</w:t>
      </w:r>
    </w:p>
    <w:p w14:paraId="447C5B5B" w14:textId="77777777" w:rsidR="00D448E6" w:rsidRPr="006951B7" w:rsidRDefault="00D448E6" w:rsidP="00D448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Рекомендуемая дозировка для взрослых обычно составляет от 100 до 200 мг на инъекцию 1–3 раза в неделю с соблюдением 48-часового интервала между каждой инъекцией. У детей она составляет 3 мг/кг массы тела на инъекцию 1–3 раза в неделю с соблюдением 48-часового интервала между каждой инъекцией.</w:t>
      </w:r>
    </w:p>
    <w:p w14:paraId="71C9890C" w14:textId="77777777" w:rsidR="00D448E6" w:rsidRPr="006951B7" w:rsidRDefault="00D448E6" w:rsidP="00D448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Вводимая доза не должна превышать общую дозу, рассчитанную по следующей формуле:</w:t>
      </w:r>
    </w:p>
    <w:p w14:paraId="5B9B8D24" w14:textId="77777777" w:rsidR="00D448E6" w:rsidRPr="006951B7" w:rsidRDefault="00D448E6" w:rsidP="00D448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Общий дефицит железа (мг) = масса тела (кг) x (целевой уровень гемоглобина – текущий уровень гемоглобина) (г/100 мл) x 2,4.</w:t>
      </w:r>
    </w:p>
    <w:p w14:paraId="79827A9D" w14:textId="77777777" w:rsidR="00D448E6" w:rsidRPr="006951B7" w:rsidRDefault="00D448E6" w:rsidP="00D448E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6951B7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Анемии, связанные с хроническими воспалительными заболеваниями кишечника</w:t>
      </w:r>
    </w:p>
    <w:p w14:paraId="1DA6BF64" w14:textId="77777777" w:rsidR="00D448E6" w:rsidRPr="006951B7" w:rsidRDefault="00D448E6" w:rsidP="00D448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Прием Ферро 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Витале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можно рассматривать, когда уровень гемоглобина падает ниже 10,5 г/100 мл.</w:t>
      </w:r>
    </w:p>
    <w:p w14:paraId="2109179A" w14:textId="77777777" w:rsidR="00D448E6" w:rsidRPr="006951B7" w:rsidRDefault="00D448E6" w:rsidP="00D448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Рекомендуемая дозировка для взрослых обычно составляет от 100 до 200 мг на инъекцию 1–3 раза в неделю с соблюдением 48-часового интервала между каждой инъекцией.</w:t>
      </w:r>
    </w:p>
    <w:p w14:paraId="74DB323A" w14:textId="77777777" w:rsidR="00D448E6" w:rsidRPr="006951B7" w:rsidRDefault="00D448E6" w:rsidP="00D448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Расчет общей необходимой дозы</w:t>
      </w:r>
    </w:p>
    <w:p w14:paraId="1822DF9F" w14:textId="77777777" w:rsidR="00D448E6" w:rsidRPr="006951B7" w:rsidRDefault="00D448E6" w:rsidP="00D448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Общая кумулятивная доза Ферро 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Витале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, эквивалентная общему дефициту железа (мг), определяется уровнем гемоглобина (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Hb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и массой тела (МТ). Дозу Ферро 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Витале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следует рассчитывать индивидуально для каждого пациента исходя из общего дефицита железа, рассчитанного по приведенной ниже формуле </w:t>
      </w:r>
      <w:proofErr w:type="spellStart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Ган</w:t>
      </w:r>
      <w:r w:rsidR="0071796E"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они</w:t>
      </w:r>
      <w:proofErr w:type="spellEnd"/>
      <w:r w:rsidRPr="006951B7">
        <w:rPr>
          <w:rFonts w:ascii="Times New Roman" w:eastAsia="Times New Roman" w:hAnsi="Times New Roman"/>
          <w:bCs/>
          <w:sz w:val="24"/>
          <w:szCs w:val="24"/>
          <w:lang w:eastAsia="ru-RU"/>
        </w:rPr>
        <w:t>, например: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4819"/>
      </w:tblGrid>
      <w:tr w:rsidR="00D448E6" w:rsidRPr="006951B7" w14:paraId="7846425C" w14:textId="77777777" w:rsidTr="00930652">
        <w:tc>
          <w:tcPr>
            <w:tcW w:w="9072" w:type="dxa"/>
            <w:gridSpan w:val="3"/>
            <w:tcMar>
              <w:top w:w="68" w:type="dxa"/>
              <w:bottom w:w="68" w:type="dxa"/>
            </w:tcMar>
          </w:tcPr>
          <w:p w14:paraId="0CE996AE" w14:textId="77777777" w:rsidR="00D448E6" w:rsidRPr="006951B7" w:rsidRDefault="00D448E6" w:rsidP="0093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Общий дефицит железа [мг] = масса тела [кг] × (целевой уровень </w:t>
            </w: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Hb</w:t>
            </w: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фактический уровень </w:t>
            </w: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val="en-GB" w:eastAsia="ru-RU"/>
              </w:rPr>
              <w:t>Hb</w:t>
            </w:r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 [г/</w:t>
            </w:r>
            <w:proofErr w:type="spellStart"/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</w:t>
            </w:r>
            <w:proofErr w:type="spellEnd"/>
            <w:r w:rsidRPr="006951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] х 2.4* + депонированное железо [мг]</w:t>
            </w:r>
          </w:p>
        </w:tc>
      </w:tr>
      <w:tr w:rsidR="00D448E6" w:rsidRPr="006951B7" w14:paraId="0C0B3CA0" w14:textId="77777777" w:rsidTr="00930652">
        <w:trPr>
          <w:trHeight w:val="281"/>
        </w:trPr>
        <w:tc>
          <w:tcPr>
            <w:tcW w:w="2694" w:type="dxa"/>
            <w:tcMar>
              <w:top w:w="68" w:type="dxa"/>
              <w:bottom w:w="68" w:type="dxa"/>
            </w:tcMar>
          </w:tcPr>
          <w:p w14:paraId="3A6CC99E" w14:textId="77777777" w:rsidR="00D448E6" w:rsidRPr="006951B7" w:rsidRDefault="00D448E6" w:rsidP="009306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 массе тела менее 35 кг:</w:t>
            </w:r>
          </w:p>
        </w:tc>
        <w:tc>
          <w:tcPr>
            <w:tcW w:w="6378" w:type="dxa"/>
            <w:gridSpan w:val="2"/>
            <w:tcMar>
              <w:top w:w="68" w:type="dxa"/>
              <w:bottom w:w="68" w:type="dxa"/>
            </w:tcMar>
          </w:tcPr>
          <w:p w14:paraId="7A7F9886" w14:textId="77777777" w:rsidR="00D448E6" w:rsidRPr="006951B7" w:rsidRDefault="00D448E6" w:rsidP="0093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уровень 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Hb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13 г/</w:t>
            </w:r>
            <w:proofErr w:type="spellStart"/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количество депонированного железа = 15 мг/кг массы тела</w:t>
            </w:r>
          </w:p>
        </w:tc>
      </w:tr>
      <w:tr w:rsidR="00D448E6" w:rsidRPr="006951B7" w14:paraId="6D9923CB" w14:textId="77777777" w:rsidTr="00930652">
        <w:tc>
          <w:tcPr>
            <w:tcW w:w="2694" w:type="dxa"/>
            <w:tcMar>
              <w:top w:w="68" w:type="dxa"/>
              <w:bottom w:w="68" w:type="dxa"/>
            </w:tcMar>
          </w:tcPr>
          <w:p w14:paraId="262187FD" w14:textId="77777777" w:rsidR="00D448E6" w:rsidRPr="006951B7" w:rsidRDefault="00D448E6" w:rsidP="009306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массе тела 35 кг и более:</w:t>
            </w:r>
          </w:p>
        </w:tc>
        <w:tc>
          <w:tcPr>
            <w:tcW w:w="6378" w:type="dxa"/>
            <w:gridSpan w:val="2"/>
            <w:tcMar>
              <w:top w:w="68" w:type="dxa"/>
              <w:bottom w:w="68" w:type="dxa"/>
            </w:tcMar>
          </w:tcPr>
          <w:p w14:paraId="6F6AC1C9" w14:textId="77777777" w:rsidR="00D448E6" w:rsidRPr="006951B7" w:rsidRDefault="00D448E6" w:rsidP="0093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уровень 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Hb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14 г/</w:t>
            </w:r>
            <w:proofErr w:type="spellStart"/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количество депонированного железа = 500 мг</w:t>
            </w:r>
          </w:p>
        </w:tc>
      </w:tr>
      <w:tr w:rsidR="00D448E6" w:rsidRPr="006951B7" w14:paraId="2279F238" w14:textId="77777777" w:rsidTr="00930652">
        <w:tc>
          <w:tcPr>
            <w:tcW w:w="9072" w:type="dxa"/>
            <w:gridSpan w:val="3"/>
            <w:tcMar>
              <w:top w:w="68" w:type="dxa"/>
              <w:bottom w:w="68" w:type="dxa"/>
            </w:tcMar>
          </w:tcPr>
          <w:p w14:paraId="26FF129E" w14:textId="77777777" w:rsidR="00D448E6" w:rsidRPr="006951B7" w:rsidRDefault="00D448E6" w:rsidP="0093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 Коэффициент 2.4 = 0.0034 (содержание железа в 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Hb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0.34%) × 0.07 (объем крови = 7% от массы тела) × 1000 (перевод из [г] в [мг]) × 10</w:t>
            </w:r>
          </w:p>
        </w:tc>
      </w:tr>
      <w:tr w:rsidR="00D448E6" w:rsidRPr="006951B7" w14:paraId="3CE28742" w14:textId="77777777" w:rsidTr="00930652">
        <w:trPr>
          <w:trHeight w:val="966"/>
        </w:trPr>
        <w:tc>
          <w:tcPr>
            <w:tcW w:w="4253" w:type="dxa"/>
            <w:gridSpan w:val="2"/>
            <w:tcMar>
              <w:top w:w="68" w:type="dxa"/>
              <w:bottom w:w="68" w:type="dxa"/>
            </w:tcMar>
            <w:vAlign w:val="center"/>
          </w:tcPr>
          <w:p w14:paraId="3B4E1860" w14:textId="77777777" w:rsidR="00D448E6" w:rsidRPr="006951B7" w:rsidRDefault="00D448E6" w:rsidP="0093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Общее количество препарата Ферро </w:t>
            </w:r>
            <w:proofErr w:type="spellStart"/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Витале</w:t>
            </w:r>
            <w:proofErr w:type="spellEnd"/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которое следует       =</w:t>
            </w:r>
          </w:p>
          <w:p w14:paraId="3E09E009" w14:textId="77777777" w:rsidR="00D448E6" w:rsidRPr="006951B7" w:rsidRDefault="00D448E6" w:rsidP="0093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ввести (в мл)</w:t>
            </w:r>
          </w:p>
        </w:tc>
        <w:tc>
          <w:tcPr>
            <w:tcW w:w="4819" w:type="dxa"/>
            <w:tcMar>
              <w:top w:w="68" w:type="dxa"/>
              <w:bottom w:w="68" w:type="dxa"/>
            </w:tcMar>
            <w:vAlign w:val="center"/>
          </w:tcPr>
          <w:p w14:paraId="1BE485D9" w14:textId="77777777" w:rsidR="00D448E6" w:rsidRPr="006951B7" w:rsidRDefault="00D448E6" w:rsidP="0093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14:paraId="28EFA1BC" w14:textId="77777777" w:rsidR="00D448E6" w:rsidRPr="006951B7" w:rsidRDefault="00D448E6" w:rsidP="0093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Общий дефицит железа [мг]</w:t>
            </w:r>
          </w:p>
          <w:p w14:paraId="0C1C8337" w14:textId="77777777" w:rsidR="00D448E6" w:rsidRPr="006951B7" w:rsidRDefault="00D448E6" w:rsidP="00930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 </w:t>
            </w:r>
            <w:r w:rsidRPr="0069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 железа/мл</w:t>
            </w:r>
          </w:p>
        </w:tc>
      </w:tr>
    </w:tbl>
    <w:p w14:paraId="596BC43E" w14:textId="77777777" w:rsidR="00D448E6" w:rsidRPr="006951B7" w:rsidRDefault="00D448E6" w:rsidP="00D448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654737D" w14:textId="77777777" w:rsidR="009F5A85" w:rsidRPr="006951B7" w:rsidRDefault="009F5A85" w:rsidP="00AE31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51B7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40DF4AA4" w14:textId="77777777" w:rsidR="00E47E48" w:rsidRPr="006951B7" w:rsidRDefault="00543264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71032644"/>
      <w:r w:rsidRPr="006951B7">
        <w:rPr>
          <w:rFonts w:ascii="Times New Roman" w:hAnsi="Times New Roman"/>
          <w:sz w:val="24"/>
          <w:szCs w:val="24"/>
        </w:rPr>
        <w:t xml:space="preserve">Ферро </w:t>
      </w:r>
      <w:proofErr w:type="spellStart"/>
      <w:r w:rsidRPr="006951B7">
        <w:rPr>
          <w:rFonts w:ascii="Times New Roman" w:hAnsi="Times New Roman"/>
          <w:sz w:val="24"/>
          <w:szCs w:val="24"/>
        </w:rPr>
        <w:t>Витале</w:t>
      </w:r>
      <w:bookmarkEnd w:id="5"/>
      <w:proofErr w:type="spellEnd"/>
      <w:r w:rsidR="00E47E48" w:rsidRPr="006951B7">
        <w:rPr>
          <w:rFonts w:ascii="Times New Roman" w:hAnsi="Times New Roman"/>
          <w:sz w:val="24"/>
          <w:szCs w:val="24"/>
        </w:rPr>
        <w:t xml:space="preserve"> необходимо </w:t>
      </w:r>
      <w:r w:rsidR="009317AA" w:rsidRPr="006951B7">
        <w:rPr>
          <w:rFonts w:ascii="Times New Roman" w:hAnsi="Times New Roman"/>
          <w:sz w:val="24"/>
          <w:szCs w:val="24"/>
        </w:rPr>
        <w:t>вводить</w:t>
      </w:r>
      <w:r w:rsidR="00E47E48" w:rsidRPr="006951B7">
        <w:rPr>
          <w:rFonts w:ascii="Times New Roman" w:hAnsi="Times New Roman"/>
          <w:sz w:val="24"/>
          <w:szCs w:val="24"/>
        </w:rPr>
        <w:t xml:space="preserve"> </w:t>
      </w:r>
      <w:r w:rsidR="009317AA" w:rsidRPr="006951B7">
        <w:rPr>
          <w:rFonts w:ascii="Times New Roman" w:hAnsi="Times New Roman"/>
          <w:sz w:val="24"/>
          <w:szCs w:val="24"/>
        </w:rPr>
        <w:t>строго</w:t>
      </w:r>
      <w:r w:rsidR="00E47E48" w:rsidRPr="006951B7">
        <w:rPr>
          <w:rFonts w:ascii="Times New Roman" w:hAnsi="Times New Roman"/>
          <w:sz w:val="24"/>
          <w:szCs w:val="24"/>
        </w:rPr>
        <w:t xml:space="preserve"> внутривенно. Его можно применять в виде медленной внутривенной инъекции, внутривенной капельной инфузии или напрямую в венозную линию диализной системы. </w:t>
      </w:r>
    </w:p>
    <w:p w14:paraId="513F5350" w14:textId="77777777" w:rsidR="00E47E48" w:rsidRPr="006951B7" w:rsidRDefault="00E47E48" w:rsidP="00AE31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951B7">
        <w:rPr>
          <w:rFonts w:ascii="Times New Roman" w:hAnsi="Times New Roman"/>
          <w:i/>
          <w:sz w:val="24"/>
          <w:szCs w:val="24"/>
        </w:rPr>
        <w:t xml:space="preserve">Внутривенная капельная инфузия </w:t>
      </w:r>
    </w:p>
    <w:p w14:paraId="056C06D2" w14:textId="77777777" w:rsidR="009317AA" w:rsidRPr="006951B7" w:rsidRDefault="009317AA" w:rsidP="00AE31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6" w:name="_Hlk163551057"/>
      <w:r w:rsidRPr="006951B7">
        <w:rPr>
          <w:rFonts w:ascii="Times New Roman" w:hAnsi="Times New Roman"/>
          <w:iCs/>
          <w:sz w:val="24"/>
          <w:szCs w:val="24"/>
        </w:rPr>
        <w:t xml:space="preserve">Ферро </w:t>
      </w:r>
      <w:proofErr w:type="spellStart"/>
      <w:r w:rsidRPr="006951B7">
        <w:rPr>
          <w:rFonts w:ascii="Times New Roman" w:hAnsi="Times New Roman"/>
          <w:iCs/>
          <w:sz w:val="24"/>
          <w:szCs w:val="24"/>
        </w:rPr>
        <w:t>Витале</w:t>
      </w:r>
      <w:proofErr w:type="spellEnd"/>
      <w:r w:rsidRPr="006951B7">
        <w:rPr>
          <w:rFonts w:ascii="Times New Roman" w:hAnsi="Times New Roman"/>
          <w:iCs/>
          <w:sz w:val="24"/>
          <w:szCs w:val="24"/>
        </w:rPr>
        <w:t xml:space="preserve"> </w:t>
      </w:r>
      <w:bookmarkEnd w:id="6"/>
      <w:r w:rsidRPr="006951B7">
        <w:rPr>
          <w:rFonts w:ascii="Times New Roman" w:hAnsi="Times New Roman"/>
          <w:iCs/>
          <w:sz w:val="24"/>
          <w:szCs w:val="24"/>
        </w:rPr>
        <w:t>следует применять только после разведения непосредственно перед инфузией, исключительно в стерильном изотоническом растворе натрия хлорида, из расчета 5 мл (что соответствует 100 мг железа), разведенного максимум в 100 мл раствора для инфузий натрия хлорида 0,9% до 15 мл (300 мг железа), разведенных в 0,9% растворе натрия хлорида для инфузий (до 300 мл). Концентрация железа в полученном растворе должна быть не менее 1 мг/мл.</w:t>
      </w:r>
    </w:p>
    <w:p w14:paraId="1C4E6934" w14:textId="77777777" w:rsidR="009317AA" w:rsidRPr="006951B7" w:rsidRDefault="009317AA" w:rsidP="009317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951B7">
        <w:rPr>
          <w:rFonts w:ascii="Times New Roman" w:hAnsi="Times New Roman"/>
          <w:iCs/>
          <w:sz w:val="24"/>
          <w:szCs w:val="24"/>
        </w:rPr>
        <w:t>Полученный раствор вводят путем медленной инфузии со скоростью потока 3,5 мл в минуту, не превышая 15 мл (300 мг железа) на инфузию (вводят в течение не менее 1,5 часов).</w:t>
      </w:r>
    </w:p>
    <w:p w14:paraId="0726AB3D" w14:textId="77777777" w:rsidR="009317AA" w:rsidRPr="006951B7" w:rsidRDefault="009317AA" w:rsidP="009317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951B7">
        <w:rPr>
          <w:rFonts w:ascii="Times New Roman" w:hAnsi="Times New Roman"/>
          <w:iCs/>
          <w:sz w:val="24"/>
          <w:szCs w:val="24"/>
        </w:rPr>
        <w:t xml:space="preserve">Чтобы избежать рисков, связанных с </w:t>
      </w:r>
      <w:proofErr w:type="spellStart"/>
      <w:r w:rsidRPr="006951B7">
        <w:rPr>
          <w:rFonts w:ascii="Times New Roman" w:hAnsi="Times New Roman"/>
          <w:iCs/>
          <w:sz w:val="24"/>
          <w:szCs w:val="24"/>
        </w:rPr>
        <w:t>экстравазацией</w:t>
      </w:r>
      <w:proofErr w:type="spellEnd"/>
      <w:r w:rsidRPr="006951B7">
        <w:rPr>
          <w:rFonts w:ascii="Times New Roman" w:hAnsi="Times New Roman"/>
          <w:iCs/>
          <w:sz w:val="24"/>
          <w:szCs w:val="24"/>
        </w:rPr>
        <w:t xml:space="preserve"> в месте инъекции (см. раздел 4.4), перед проведением инфузии необходимо убедиться в правильном положении иглы в вене. Перед введением введите изотонический физиологический раствор, чтобы проверить положение канюли, и снова промойте его физиологическим раствором после завершения инфузии или болюса.</w:t>
      </w:r>
    </w:p>
    <w:p w14:paraId="7183F13D" w14:textId="77777777" w:rsidR="009317AA" w:rsidRPr="006951B7" w:rsidRDefault="009317AA" w:rsidP="009317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951B7">
        <w:rPr>
          <w:rFonts w:ascii="Times New Roman" w:hAnsi="Times New Roman"/>
          <w:iCs/>
          <w:sz w:val="24"/>
          <w:szCs w:val="24"/>
        </w:rPr>
        <w:t>При внутривенном введении раствора железа сестринский мониторинг следует проводить регулярно через 15 минут, 30 минут, а затем каждый час до окончания инфузии. Вытяните руку пациента после инфузии.</w:t>
      </w:r>
    </w:p>
    <w:p w14:paraId="6DCAA632" w14:textId="77777777" w:rsidR="009317AA" w:rsidRPr="006951B7" w:rsidRDefault="009317AA" w:rsidP="00AE31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951B7">
        <w:rPr>
          <w:rFonts w:ascii="Times New Roman" w:hAnsi="Times New Roman"/>
          <w:iCs/>
          <w:sz w:val="24"/>
          <w:szCs w:val="24"/>
        </w:rPr>
        <w:t>Минимальный интервал должен строго соблюдаться между каждым введением.</w:t>
      </w:r>
    </w:p>
    <w:p w14:paraId="1256C1E1" w14:textId="77777777" w:rsidR="00E47E48" w:rsidRPr="006951B7" w:rsidRDefault="00E47E48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i/>
          <w:sz w:val="24"/>
          <w:szCs w:val="24"/>
        </w:rPr>
        <w:t>Внутривенная инъекция</w:t>
      </w:r>
    </w:p>
    <w:p w14:paraId="25589601" w14:textId="77777777" w:rsidR="00E47E48" w:rsidRPr="006951B7" w:rsidRDefault="00543264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Ферро </w:t>
      </w:r>
      <w:proofErr w:type="spellStart"/>
      <w:r w:rsidRPr="006951B7">
        <w:rPr>
          <w:rFonts w:ascii="Times New Roman" w:hAnsi="Times New Roman"/>
          <w:sz w:val="24"/>
          <w:szCs w:val="24"/>
        </w:rPr>
        <w:t>Витале</w:t>
      </w:r>
      <w:proofErr w:type="spellEnd"/>
      <w:r w:rsidR="00E47E48" w:rsidRPr="006951B7">
        <w:rPr>
          <w:rFonts w:ascii="Times New Roman" w:hAnsi="Times New Roman"/>
          <w:sz w:val="24"/>
          <w:szCs w:val="24"/>
        </w:rPr>
        <w:t xml:space="preserve"> может вводиться путем медленной внутривенной инъекции со скоростью 1 мл неразведенного раствора </w:t>
      </w:r>
      <w:proofErr w:type="gramStart"/>
      <w:r w:rsidR="00E47E48" w:rsidRPr="006951B7">
        <w:rPr>
          <w:rFonts w:ascii="Times New Roman" w:hAnsi="Times New Roman"/>
          <w:sz w:val="24"/>
          <w:szCs w:val="24"/>
        </w:rPr>
        <w:t>в минуту</w:t>
      </w:r>
      <w:proofErr w:type="gramEnd"/>
      <w:r w:rsidR="00E47E48" w:rsidRPr="006951B7">
        <w:rPr>
          <w:rFonts w:ascii="Times New Roman" w:hAnsi="Times New Roman"/>
          <w:sz w:val="24"/>
          <w:szCs w:val="24"/>
        </w:rPr>
        <w:t xml:space="preserve"> и его доза не должна превышать 10 мл (200 мг железа) на инъекцию в течение, по крайней мере, 10 минут.</w:t>
      </w:r>
    </w:p>
    <w:p w14:paraId="527F5FDB" w14:textId="77777777" w:rsidR="00E47E48" w:rsidRPr="006951B7" w:rsidRDefault="00E47E48" w:rsidP="00AE31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51B7">
        <w:rPr>
          <w:rFonts w:ascii="Times New Roman" w:hAnsi="Times New Roman"/>
          <w:i/>
          <w:sz w:val="24"/>
          <w:szCs w:val="24"/>
        </w:rPr>
        <w:t>Введение в венозный участок диализной системы</w:t>
      </w:r>
    </w:p>
    <w:p w14:paraId="7B8D36F0" w14:textId="77777777" w:rsidR="00E47E48" w:rsidRPr="006951B7" w:rsidRDefault="00543264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Ферро </w:t>
      </w:r>
      <w:proofErr w:type="spellStart"/>
      <w:r w:rsidRPr="006951B7">
        <w:rPr>
          <w:rFonts w:ascii="Times New Roman" w:hAnsi="Times New Roman"/>
          <w:sz w:val="24"/>
          <w:szCs w:val="24"/>
        </w:rPr>
        <w:t>Витале</w:t>
      </w:r>
      <w:proofErr w:type="spellEnd"/>
      <w:r w:rsidR="00E47E48" w:rsidRPr="006951B7">
        <w:rPr>
          <w:rFonts w:ascii="Times New Roman" w:hAnsi="Times New Roman"/>
          <w:sz w:val="24"/>
          <w:szCs w:val="24"/>
        </w:rPr>
        <w:t xml:space="preserve"> можно вводить во время сеанса гемодиализа непосредственно в венозный участок диализной системы при соблюдении тех же условий, что и для внутривенной инъекции.</w:t>
      </w:r>
    </w:p>
    <w:p w14:paraId="738181FB" w14:textId="77777777" w:rsidR="0078568D" w:rsidRPr="006951B7" w:rsidRDefault="0078568D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64707F" w14:textId="77777777" w:rsidR="007D0E84" w:rsidRPr="006951B7" w:rsidRDefault="00DB406A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0A3C8AC9" w14:textId="77777777" w:rsidR="005F43B6" w:rsidRPr="006951B7" w:rsidRDefault="005F43B6" w:rsidP="00AE31A4">
      <w:pPr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>гиперчувствительность к действующим веществам или к любому из вспомогательных веществ, перечисленных в разделе 6.1</w:t>
      </w:r>
    </w:p>
    <w:p w14:paraId="4FA501E8" w14:textId="77777777" w:rsidR="00E47E48" w:rsidRPr="006951B7" w:rsidRDefault="00E47E48" w:rsidP="00AE31A4">
      <w:pPr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lastRenderedPageBreak/>
        <w:t>известные серьезные реакции гиперчувствительности к другим парентеральным препаратам железа</w:t>
      </w:r>
    </w:p>
    <w:p w14:paraId="084706AA" w14:textId="77777777" w:rsidR="00E47E48" w:rsidRPr="006951B7" w:rsidRDefault="00E47E48" w:rsidP="00AE31A4">
      <w:pPr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>анемия, не</w:t>
      </w:r>
      <w:r w:rsidR="0071796E" w:rsidRPr="006951B7">
        <w:rPr>
          <w:rFonts w:ascii="Times New Roman" w:hAnsi="Times New Roman"/>
          <w:sz w:val="24"/>
          <w:szCs w:val="24"/>
        </w:rPr>
        <w:t xml:space="preserve"> </w:t>
      </w:r>
      <w:r w:rsidRPr="006951B7">
        <w:rPr>
          <w:rFonts w:ascii="Times New Roman" w:hAnsi="Times New Roman"/>
          <w:sz w:val="24"/>
          <w:szCs w:val="24"/>
        </w:rPr>
        <w:t xml:space="preserve">связанная с дефицитом железа </w:t>
      </w:r>
    </w:p>
    <w:p w14:paraId="27D75205" w14:textId="77777777" w:rsidR="00E47E48" w:rsidRPr="006951B7" w:rsidRDefault="00E47E48" w:rsidP="00AE31A4">
      <w:pPr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симптомы перегрузки железом или наследственные нарушения усвояемости железа </w:t>
      </w:r>
      <w:r w:rsidR="0071796E" w:rsidRPr="006951B7">
        <w:rPr>
          <w:rFonts w:ascii="Times New Roman" w:hAnsi="Times New Roman"/>
          <w:sz w:val="24"/>
          <w:szCs w:val="24"/>
        </w:rPr>
        <w:t xml:space="preserve">(например, </w:t>
      </w:r>
      <w:proofErr w:type="spellStart"/>
      <w:r w:rsidR="0071796E" w:rsidRPr="006951B7">
        <w:rPr>
          <w:rFonts w:ascii="Times New Roman" w:hAnsi="Times New Roman"/>
          <w:sz w:val="24"/>
          <w:szCs w:val="24"/>
        </w:rPr>
        <w:t>гемохроматоз</w:t>
      </w:r>
      <w:proofErr w:type="spellEnd"/>
      <w:r w:rsidR="0071796E" w:rsidRPr="006951B7">
        <w:rPr>
          <w:rFonts w:ascii="Times New Roman" w:hAnsi="Times New Roman"/>
          <w:sz w:val="24"/>
          <w:szCs w:val="24"/>
        </w:rPr>
        <w:t>, гемосидероз)</w:t>
      </w:r>
    </w:p>
    <w:p w14:paraId="0A724E61" w14:textId="77777777" w:rsidR="0071796E" w:rsidRPr="006951B7" w:rsidRDefault="0071796E" w:rsidP="00AE31A4">
      <w:pPr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>декомпенсированный цирроз печени и гепатит</w:t>
      </w:r>
    </w:p>
    <w:p w14:paraId="5E359A6E" w14:textId="77777777" w:rsidR="002A682C" w:rsidRPr="006951B7" w:rsidRDefault="002A682C" w:rsidP="00AE31A4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9725AD5" w14:textId="77777777" w:rsidR="00B10089" w:rsidRPr="006951B7" w:rsidRDefault="00DB406A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6951B7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4313744C" w14:textId="77777777" w:rsidR="00E47E48" w:rsidRPr="006951B7" w:rsidRDefault="00E47E48" w:rsidP="00AE31A4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Парентерально введенные препараты железа могут вызвать реакции гиперчувствительности, включая серьезные и потенциально летальные анафилактические/</w:t>
      </w:r>
      <w:proofErr w:type="spellStart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анафилактоидные</w:t>
      </w:r>
      <w:proofErr w:type="spellEnd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реакции. Сообщалось также о реакции гиперчувствительности даже</w:t>
      </w:r>
      <w:r w:rsidR="0079234E" w:rsidRPr="006951B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они отсутствовали на предыдущие дозы парентеральных комплексов железа. Сообщалось о реакции гиперчувствительности, которые прогрессировали к синдрому </w:t>
      </w:r>
      <w:proofErr w:type="spellStart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Коуниса</w:t>
      </w:r>
      <w:proofErr w:type="spellEnd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 (острый аллергический коронарный </w:t>
      </w:r>
      <w:proofErr w:type="spellStart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артериоспазм</w:t>
      </w:r>
      <w:proofErr w:type="spellEnd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), который может привести к инфаркту миокарда.</w:t>
      </w:r>
      <w:r w:rsidR="00E84305"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нескольких исследованиях, проведенных с участием пациентов, у которых в анамнезе была реакция гиперчувствительности </w:t>
      </w:r>
      <w:proofErr w:type="gramStart"/>
      <w:r w:rsidR="00E84305" w:rsidRPr="006951B7">
        <w:rPr>
          <w:rFonts w:ascii="Times New Roman" w:eastAsia="Times New Roman" w:hAnsi="Times New Roman"/>
          <w:sz w:val="24"/>
          <w:szCs w:val="24"/>
          <w:lang w:eastAsia="ru-RU"/>
        </w:rPr>
        <w:t>на декстран</w:t>
      </w:r>
      <w:proofErr w:type="gramEnd"/>
      <w:r w:rsidR="00E84305"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железа или глюконат железа, железа сахароза показала хорошую переносимость. Информацию об известной серьезной гиперчувствительности к другим препаратам железа для парентерального введения см. в разделе 4.3.</w:t>
      </w:r>
    </w:p>
    <w:p w14:paraId="5C61560F" w14:textId="77777777" w:rsidR="00E47E48" w:rsidRPr="006951B7" w:rsidRDefault="00E47E48" w:rsidP="00AE31A4">
      <w:pPr>
        <w:pStyle w:val="BodyText21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6951B7">
        <w:rPr>
          <w:rFonts w:ascii="Times New Roman" w:hAnsi="Times New Roman" w:cs="Times New Roman"/>
          <w:szCs w:val="24"/>
          <w:lang w:val="ru-RU"/>
        </w:rPr>
        <w:t xml:space="preserve">Риск </w:t>
      </w:r>
      <w:r w:rsidRPr="006951B7">
        <w:rPr>
          <w:rFonts w:ascii="Times New Roman" w:hAnsi="Times New Roman" w:cs="Times New Roman"/>
          <w:szCs w:val="24"/>
          <w:shd w:val="clear" w:color="auto" w:fill="FFFFFF"/>
          <w:lang w:val="ru-RU"/>
        </w:rPr>
        <w:t xml:space="preserve">реакции гиперчувствительности </w:t>
      </w:r>
      <w:r w:rsidRPr="006951B7">
        <w:rPr>
          <w:rFonts w:ascii="Times New Roman" w:hAnsi="Times New Roman" w:cs="Times New Roman"/>
          <w:szCs w:val="24"/>
          <w:lang w:val="ru-RU"/>
        </w:rPr>
        <w:t>повышается у пациентов с аллергией в анамнезе, включая лекарственные аллергии, включая пациентов, имеющих в анамнезе тяжелую астму, экзему и другие формы атопической аллергии</w:t>
      </w:r>
      <w:r w:rsidR="00667A80" w:rsidRPr="006951B7">
        <w:rPr>
          <w:rFonts w:ascii="Times New Roman" w:hAnsi="Times New Roman" w:cs="Times New Roman"/>
          <w:szCs w:val="24"/>
          <w:lang w:val="ru-RU"/>
        </w:rPr>
        <w:t xml:space="preserve"> (атопический)</w:t>
      </w:r>
      <w:r w:rsidRPr="006951B7">
        <w:rPr>
          <w:rFonts w:ascii="Times New Roman" w:hAnsi="Times New Roman" w:cs="Times New Roman"/>
          <w:szCs w:val="24"/>
          <w:lang w:val="ru-RU"/>
        </w:rPr>
        <w:t xml:space="preserve">. </w:t>
      </w:r>
    </w:p>
    <w:p w14:paraId="1D2F5E1C" w14:textId="77777777" w:rsidR="00E47E48" w:rsidRPr="006951B7" w:rsidRDefault="00E47E48" w:rsidP="00AE31A4">
      <w:pPr>
        <w:pStyle w:val="BodyText21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6951B7">
        <w:rPr>
          <w:rFonts w:ascii="Times New Roman" w:hAnsi="Times New Roman" w:cs="Times New Roman"/>
          <w:color w:val="auto"/>
          <w:szCs w:val="24"/>
          <w:lang w:val="ru-RU"/>
        </w:rPr>
        <w:t xml:space="preserve">Также существует повышенный риск реакций повышенной чувствительности к парентеральным комплексам железа у пациентов </w:t>
      </w:r>
      <w:r w:rsidRPr="006951B7">
        <w:rPr>
          <w:rFonts w:ascii="Times New Roman" w:hAnsi="Times New Roman" w:cs="Times New Roman"/>
          <w:szCs w:val="24"/>
          <w:lang w:val="ru-RU"/>
        </w:rPr>
        <w:t>с иммунными и воспалительными заболеваниями (например, системная красная волчанка, ревматоидный артрит).</w:t>
      </w:r>
    </w:p>
    <w:p w14:paraId="3D3A17C9" w14:textId="77777777" w:rsidR="00667A80" w:rsidRPr="006951B7" w:rsidRDefault="00667A80" w:rsidP="00AE31A4">
      <w:pPr>
        <w:pStyle w:val="BodyText21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6951B7">
        <w:rPr>
          <w:rFonts w:ascii="Times New Roman" w:hAnsi="Times New Roman" w:cs="Times New Roman"/>
          <w:szCs w:val="24"/>
          <w:lang w:val="ru-RU"/>
        </w:rPr>
        <w:t xml:space="preserve">Одновременный прием Ферро </w:t>
      </w:r>
      <w:proofErr w:type="spellStart"/>
      <w:r w:rsidRPr="006951B7">
        <w:rPr>
          <w:rFonts w:ascii="Times New Roman" w:hAnsi="Times New Roman" w:cs="Times New Roman"/>
          <w:szCs w:val="24"/>
          <w:lang w:val="ru-RU"/>
        </w:rPr>
        <w:t>Витале</w:t>
      </w:r>
      <w:proofErr w:type="spellEnd"/>
      <w:r w:rsidRPr="006951B7">
        <w:rPr>
          <w:rFonts w:ascii="Times New Roman" w:hAnsi="Times New Roman" w:cs="Times New Roman"/>
          <w:szCs w:val="24"/>
          <w:lang w:val="ru-RU"/>
        </w:rPr>
        <w:t xml:space="preserve"> с другими солями железа в виде инъекций не рекомендуется (см. раздел 4.3).</w:t>
      </w:r>
    </w:p>
    <w:p w14:paraId="78AF5C06" w14:textId="77777777" w:rsidR="00667A80" w:rsidRPr="006951B7" w:rsidRDefault="00E84305" w:rsidP="00AE31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163552744"/>
      <w:r w:rsidRPr="006951B7">
        <w:rPr>
          <w:rFonts w:ascii="Times New Roman" w:hAnsi="Times New Roman"/>
          <w:sz w:val="24"/>
          <w:szCs w:val="24"/>
        </w:rPr>
        <w:t xml:space="preserve">Ферро </w:t>
      </w:r>
      <w:proofErr w:type="spellStart"/>
      <w:r w:rsidRPr="006951B7">
        <w:rPr>
          <w:rFonts w:ascii="Times New Roman" w:hAnsi="Times New Roman"/>
          <w:sz w:val="24"/>
          <w:szCs w:val="24"/>
        </w:rPr>
        <w:t>Витале</w:t>
      </w:r>
      <w:proofErr w:type="spellEnd"/>
      <w:r w:rsidR="00E47E48" w:rsidRPr="006951B7">
        <w:rPr>
          <w:rFonts w:ascii="Times New Roman" w:hAnsi="Times New Roman"/>
          <w:sz w:val="24"/>
          <w:szCs w:val="24"/>
        </w:rPr>
        <w:t xml:space="preserve"> </w:t>
      </w:r>
      <w:bookmarkEnd w:id="7"/>
      <w:r w:rsidR="00E47E48" w:rsidRPr="006951B7">
        <w:rPr>
          <w:rFonts w:ascii="Times New Roman" w:hAnsi="Times New Roman"/>
          <w:sz w:val="24"/>
          <w:szCs w:val="24"/>
        </w:rPr>
        <w:t xml:space="preserve">необходимо вводить только в присутствии медицинского персонала, обученного оценке и оказанию неотложной помощи при возникновении анафилактической реакции, а также в условиях медицинского центра, в котором имеются все средства и оборудование для реанимации. </w:t>
      </w:r>
    </w:p>
    <w:p w14:paraId="7A6A427E" w14:textId="77777777" w:rsidR="00E47E48" w:rsidRPr="006951B7" w:rsidRDefault="00E47E48" w:rsidP="00AE31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Необходимо тщательное наблюдение за состоянием пациента в течение как минимум 30 минут после каждого введения </w:t>
      </w:r>
      <w:r w:rsidR="00E84305" w:rsidRPr="006951B7">
        <w:rPr>
          <w:rFonts w:ascii="Times New Roman" w:hAnsi="Times New Roman"/>
          <w:sz w:val="24"/>
          <w:szCs w:val="24"/>
        </w:rPr>
        <w:t xml:space="preserve">Ферро </w:t>
      </w:r>
      <w:proofErr w:type="spellStart"/>
      <w:r w:rsidR="00E84305" w:rsidRPr="006951B7">
        <w:rPr>
          <w:rFonts w:ascii="Times New Roman" w:hAnsi="Times New Roman"/>
          <w:sz w:val="24"/>
          <w:szCs w:val="24"/>
        </w:rPr>
        <w:t>Витале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на предмет появления любых нежелательных эффектов. При появлении признаков гиперчувствительности или симптомов непереносимости, введение препарата необходимо немедленно остановить. Должны быть доступны оборудование и средства для сердечно-легочной реанимации на случай острой анафилактической/</w:t>
      </w:r>
      <w:proofErr w:type="spellStart"/>
      <w:r w:rsidRPr="006951B7">
        <w:rPr>
          <w:rFonts w:ascii="Times New Roman" w:hAnsi="Times New Roman"/>
          <w:sz w:val="24"/>
          <w:szCs w:val="24"/>
        </w:rPr>
        <w:t>анафилактоидной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реакции, включая инъекционный раствор адреналина 1:1000. При необходимости следует дополнительно назначить антигистаминные препараты и/или кортикостероиды.</w:t>
      </w:r>
    </w:p>
    <w:p w14:paraId="5985E6C4" w14:textId="77777777" w:rsidR="00E47E48" w:rsidRPr="006951B7" w:rsidRDefault="00E47E48" w:rsidP="00AE31A4">
      <w:pPr>
        <w:pStyle w:val="BodyText21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6951B7">
        <w:rPr>
          <w:rFonts w:ascii="Times New Roman" w:hAnsi="Times New Roman" w:cs="Times New Roman"/>
          <w:szCs w:val="24"/>
          <w:lang w:val="ru-RU"/>
        </w:rPr>
        <w:t>У пациентов с дисфункцией печени, парентеральные препараты железа следует применять только после тщательной оценки пользы/риска. Следует избегать введения парентеральных препаратов железа у пациентов с дисфункцией печени, когда перегрузка железом является провоцирующим фактором возникновения поздней кожной порфирии (ПКП). Тщательный мониторинг статуса железа позволит избежать перегрузки железом.</w:t>
      </w:r>
    </w:p>
    <w:p w14:paraId="00F2C4F3" w14:textId="77777777" w:rsidR="00E47E48" w:rsidRPr="006951B7" w:rsidRDefault="00943B73" w:rsidP="00AE31A4">
      <w:pPr>
        <w:pStyle w:val="BodyText21"/>
        <w:ind w:left="0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6951B7">
        <w:rPr>
          <w:rFonts w:ascii="Times New Roman" w:hAnsi="Times New Roman" w:cs="Times New Roman"/>
          <w:color w:val="auto"/>
          <w:szCs w:val="24"/>
          <w:lang w:val="ru-RU"/>
        </w:rPr>
        <w:t xml:space="preserve">Парентеральные препараты железа следует применять с осторожностью при острых или хронических инфекциях из-за потенциального риска обострения инфекции, особенно у детей. </w:t>
      </w:r>
      <w:r w:rsidR="00E47E48" w:rsidRPr="006951B7">
        <w:rPr>
          <w:rFonts w:ascii="Times New Roman" w:hAnsi="Times New Roman" w:cs="Times New Roman"/>
          <w:szCs w:val="24"/>
          <w:lang w:val="ru-RU"/>
        </w:rPr>
        <w:t xml:space="preserve">Рекомендуется прекратить терапию препаратом </w:t>
      </w:r>
      <w:bookmarkStart w:id="8" w:name="_Hlk163553234"/>
      <w:r w:rsidR="00E84305" w:rsidRPr="006951B7">
        <w:rPr>
          <w:rFonts w:ascii="Times New Roman" w:hAnsi="Times New Roman" w:cs="Times New Roman"/>
          <w:szCs w:val="24"/>
          <w:lang w:val="ru-RU"/>
        </w:rPr>
        <w:t xml:space="preserve">Ферро </w:t>
      </w:r>
      <w:proofErr w:type="spellStart"/>
      <w:r w:rsidR="00E84305" w:rsidRPr="006951B7">
        <w:rPr>
          <w:rFonts w:ascii="Times New Roman" w:hAnsi="Times New Roman" w:cs="Times New Roman"/>
          <w:szCs w:val="24"/>
          <w:lang w:val="ru-RU"/>
        </w:rPr>
        <w:t>Витале</w:t>
      </w:r>
      <w:proofErr w:type="spellEnd"/>
      <w:r w:rsidR="00E47E48" w:rsidRPr="006951B7">
        <w:rPr>
          <w:rFonts w:ascii="Times New Roman" w:hAnsi="Times New Roman" w:cs="Times New Roman"/>
          <w:szCs w:val="24"/>
          <w:lang w:val="ru-RU"/>
        </w:rPr>
        <w:t xml:space="preserve"> </w:t>
      </w:r>
      <w:bookmarkEnd w:id="8"/>
      <w:r w:rsidR="00E47E48" w:rsidRPr="006951B7">
        <w:rPr>
          <w:rFonts w:ascii="Times New Roman" w:hAnsi="Times New Roman" w:cs="Times New Roman"/>
          <w:szCs w:val="24"/>
          <w:lang w:val="ru-RU"/>
        </w:rPr>
        <w:t xml:space="preserve">у </w:t>
      </w:r>
      <w:r w:rsidR="00E47E48" w:rsidRPr="006951B7">
        <w:rPr>
          <w:rFonts w:ascii="Times New Roman" w:hAnsi="Times New Roman" w:cs="Times New Roman"/>
          <w:szCs w:val="24"/>
          <w:lang w:val="ru-RU"/>
        </w:rPr>
        <w:lastRenderedPageBreak/>
        <w:t>пациентов с продолжающейся бактериемией.</w:t>
      </w:r>
      <w:r w:rsidR="00E47E48" w:rsidRPr="006951B7">
        <w:rPr>
          <w:rFonts w:ascii="Times New Roman" w:hAnsi="Times New Roman" w:cs="Times New Roman"/>
          <w:color w:val="auto"/>
          <w:szCs w:val="24"/>
          <w:lang w:val="ru-RU"/>
        </w:rPr>
        <w:t xml:space="preserve"> У пациентов с хроническими инфекциями необходимо выполнять тщательную оценку пользы/риска.</w:t>
      </w:r>
    </w:p>
    <w:p w14:paraId="7C7A4649" w14:textId="77777777" w:rsidR="00943B73" w:rsidRPr="006951B7" w:rsidRDefault="00943B73" w:rsidP="00943B73">
      <w:pPr>
        <w:pStyle w:val="ammcorpstext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51B7">
        <w:rPr>
          <w:color w:val="000000"/>
        </w:rPr>
        <w:t xml:space="preserve">Реакции </w:t>
      </w:r>
      <w:proofErr w:type="spellStart"/>
      <w:r w:rsidRPr="006951B7">
        <w:rPr>
          <w:color w:val="000000"/>
        </w:rPr>
        <w:t>экстравазации</w:t>
      </w:r>
      <w:proofErr w:type="spellEnd"/>
      <w:r w:rsidRPr="006951B7">
        <w:rPr>
          <w:color w:val="000000"/>
        </w:rPr>
        <w:t xml:space="preserve"> Ферро </w:t>
      </w:r>
      <w:proofErr w:type="spellStart"/>
      <w:r w:rsidRPr="006951B7">
        <w:rPr>
          <w:color w:val="000000"/>
        </w:rPr>
        <w:t>Витале</w:t>
      </w:r>
      <w:proofErr w:type="spellEnd"/>
      <w:r w:rsidRPr="006951B7">
        <w:rPr>
          <w:color w:val="000000"/>
        </w:rPr>
        <w:t xml:space="preserve"> в месте инъекции могут возникать и проявляться в виде воспаления, боли, покраснения, уплотнения, образования стерильного абсцесса, некроза тканей и отека, которые могут появиться на ранних стадиях инъекции, а также коричневого окрашивания или пигментации кожи, которые могут сохраняться в долгосрочной перспективе.</w:t>
      </w:r>
    </w:p>
    <w:p w14:paraId="79E75E92" w14:textId="77777777" w:rsidR="00943B73" w:rsidRPr="006951B7" w:rsidRDefault="00943B73" w:rsidP="00943B73">
      <w:pPr>
        <w:pStyle w:val="ammcorpstext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51B7">
        <w:rPr>
          <w:color w:val="000000"/>
        </w:rPr>
        <w:t>Специальные методы управления данными состояниями и мониторинга позволяют снизить эти риски (см. раздел 4.2).</w:t>
      </w:r>
    </w:p>
    <w:p w14:paraId="3C23FCC1" w14:textId="77777777" w:rsidR="00943B73" w:rsidRPr="006951B7" w:rsidRDefault="00943B73" w:rsidP="00943B73">
      <w:pPr>
        <w:pStyle w:val="ammcorpstext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51B7">
        <w:rPr>
          <w:color w:val="000000"/>
        </w:rPr>
        <w:t xml:space="preserve">При возникновении </w:t>
      </w:r>
      <w:proofErr w:type="spellStart"/>
      <w:r w:rsidRPr="006951B7">
        <w:rPr>
          <w:color w:val="000000"/>
        </w:rPr>
        <w:t>экстравазации</w:t>
      </w:r>
      <w:proofErr w:type="spellEnd"/>
      <w:r w:rsidRPr="006951B7">
        <w:rPr>
          <w:color w:val="000000"/>
        </w:rPr>
        <w:t xml:space="preserve"> инфузию следует немедленно прекратить. Эффективного специфического симптоматического лечения не существует. Если после </w:t>
      </w:r>
      <w:proofErr w:type="spellStart"/>
      <w:r w:rsidRPr="006951B7">
        <w:rPr>
          <w:color w:val="000000"/>
        </w:rPr>
        <w:t>экстравазации</w:t>
      </w:r>
      <w:proofErr w:type="spellEnd"/>
      <w:r w:rsidRPr="006951B7">
        <w:rPr>
          <w:color w:val="000000"/>
        </w:rPr>
        <w:t xml:space="preserve"> появляются признаки или симптомы, такие как нарушения пигментации кожи, следует обратиться за медицинской помощью к специалисту и следить за пигментными поражениями.</w:t>
      </w:r>
    </w:p>
    <w:p w14:paraId="4BA43960" w14:textId="77777777" w:rsidR="00943B73" w:rsidRPr="006951B7" w:rsidRDefault="00943B73" w:rsidP="00943B73">
      <w:pPr>
        <w:pStyle w:val="ammcorpstext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51B7">
        <w:rPr>
          <w:color w:val="000000"/>
        </w:rPr>
        <w:t xml:space="preserve">У субъектов, ранее получавших пероральные препараты железа, лечение необходимо прервать за 24 часа до первой инъекции Ферро </w:t>
      </w:r>
      <w:proofErr w:type="spellStart"/>
      <w:r w:rsidRPr="006951B7">
        <w:rPr>
          <w:color w:val="000000"/>
        </w:rPr>
        <w:t>Витале</w:t>
      </w:r>
      <w:proofErr w:type="spellEnd"/>
      <w:r w:rsidRPr="006951B7">
        <w:rPr>
          <w:color w:val="000000"/>
        </w:rPr>
        <w:t>.</w:t>
      </w:r>
    </w:p>
    <w:p w14:paraId="7639F9BA" w14:textId="77777777" w:rsidR="000A15B0" w:rsidRPr="006951B7" w:rsidRDefault="000A15B0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2E5D51" w14:textId="77777777" w:rsidR="007D0E84" w:rsidRPr="006951B7" w:rsidRDefault="00DB406A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72BEB2EE" w14:textId="77777777" w:rsidR="00956C30" w:rsidRPr="006951B7" w:rsidRDefault="00956C30" w:rsidP="00956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9" w:name="2175220271"/>
      <w:r w:rsidRPr="006951B7">
        <w:rPr>
          <w:rFonts w:ascii="Times New Roman" w:hAnsi="Times New Roman"/>
          <w:i/>
          <w:iCs/>
          <w:color w:val="000000"/>
          <w:sz w:val="24"/>
          <w:szCs w:val="24"/>
        </w:rPr>
        <w:t>Железо (соли) для инъекций</w:t>
      </w:r>
    </w:p>
    <w:p w14:paraId="18E351BE" w14:textId="77777777" w:rsidR="00956C30" w:rsidRPr="006951B7" w:rsidRDefault="00956C30" w:rsidP="00956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</w:pPr>
      <w:proofErr w:type="spellStart"/>
      <w:r w:rsidRPr="006951B7">
        <w:rPr>
          <w:rFonts w:ascii="Times New Roman" w:hAnsi="Times New Roman"/>
          <w:color w:val="000000"/>
          <w:sz w:val="24"/>
          <w:szCs w:val="24"/>
        </w:rPr>
        <w:t>Липотимию</w:t>
      </w:r>
      <w:proofErr w:type="spellEnd"/>
      <w:r w:rsidRPr="006951B7">
        <w:rPr>
          <w:rFonts w:ascii="Times New Roman" w:hAnsi="Times New Roman"/>
          <w:color w:val="000000"/>
          <w:sz w:val="24"/>
          <w:szCs w:val="24"/>
        </w:rPr>
        <w:t xml:space="preserve">, даже шок, объясняют быстрым высвобождением железа из его сложной формы и насыщением </w:t>
      </w:r>
      <w:proofErr w:type="spellStart"/>
      <w:r w:rsidRPr="006951B7">
        <w:rPr>
          <w:rFonts w:ascii="Times New Roman" w:hAnsi="Times New Roman"/>
          <w:color w:val="000000"/>
          <w:sz w:val="24"/>
          <w:szCs w:val="24"/>
        </w:rPr>
        <w:t>сидерофилина</w:t>
      </w:r>
      <w:proofErr w:type="spellEnd"/>
      <w:r w:rsidRPr="006951B7">
        <w:rPr>
          <w:rFonts w:ascii="Times New Roman" w:hAnsi="Times New Roman"/>
          <w:color w:val="000000"/>
          <w:sz w:val="24"/>
          <w:szCs w:val="24"/>
        </w:rPr>
        <w:t>.</w:t>
      </w:r>
      <w:r w:rsidRPr="006951B7"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 xml:space="preserve"> </w:t>
      </w:r>
    </w:p>
    <w:p w14:paraId="63C3B479" w14:textId="77777777" w:rsidR="0097636D" w:rsidRPr="006951B7" w:rsidRDefault="0097636D" w:rsidP="00956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951B7">
        <w:rPr>
          <w:rFonts w:ascii="Times New Roman" w:eastAsia="TimesNewRomanPSMT" w:hAnsi="Times New Roman"/>
          <w:sz w:val="24"/>
          <w:szCs w:val="24"/>
          <w:lang w:eastAsia="ru-RU"/>
        </w:rPr>
        <w:t>Это лекарственное средство нельзя смешивать с другими лекарственными средствами, кроме стерильного раствора натрия хлорида 0.9% (</w:t>
      </w:r>
      <w:proofErr w:type="gramStart"/>
      <w:r w:rsidRPr="006951B7">
        <w:rPr>
          <w:rFonts w:ascii="Times New Roman" w:eastAsia="TimesNewRomanPSMT" w:hAnsi="Times New Roman"/>
          <w:sz w:val="24"/>
          <w:szCs w:val="24"/>
          <w:lang w:eastAsia="ru-RU"/>
        </w:rPr>
        <w:t>м/об</w:t>
      </w:r>
      <w:proofErr w:type="gramEnd"/>
      <w:r w:rsidRPr="006951B7">
        <w:rPr>
          <w:rFonts w:ascii="Times New Roman" w:eastAsia="TimesNewRomanPSMT" w:hAnsi="Times New Roman"/>
          <w:sz w:val="24"/>
          <w:szCs w:val="24"/>
          <w:lang w:eastAsia="ru-RU"/>
        </w:rPr>
        <w:t xml:space="preserve">.), используемого для разбавления. </w:t>
      </w:r>
    </w:p>
    <w:p w14:paraId="65EF669D" w14:textId="77777777" w:rsidR="000E3C65" w:rsidRPr="006951B7" w:rsidRDefault="000E3C65" w:rsidP="00AE3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9"/>
    <w:p w14:paraId="2C407B04" w14:textId="77777777" w:rsidR="00B05BD1" w:rsidRPr="006951B7" w:rsidRDefault="00B05BD1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</w:t>
      </w:r>
    </w:p>
    <w:p w14:paraId="40BC0419" w14:textId="77777777" w:rsidR="003C7B7E" w:rsidRPr="006951B7" w:rsidRDefault="003C7B7E" w:rsidP="00AE31A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951B7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07F5FD0A" w14:textId="77777777" w:rsidR="00E47E48" w:rsidRPr="006951B7" w:rsidRDefault="00E47E48" w:rsidP="00AE3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51B7">
        <w:rPr>
          <w:rFonts w:ascii="Times New Roman" w:hAnsi="Times New Roman"/>
          <w:color w:val="000000"/>
          <w:sz w:val="24"/>
          <w:szCs w:val="24"/>
        </w:rPr>
        <w:t xml:space="preserve">Необходимо проводить тщательную оценку риска/пользы перед назначением препарата </w:t>
      </w:r>
      <w:r w:rsidR="00EF146E" w:rsidRPr="006951B7">
        <w:rPr>
          <w:rFonts w:ascii="Times New Roman" w:hAnsi="Times New Roman"/>
          <w:color w:val="000000"/>
          <w:sz w:val="24"/>
          <w:szCs w:val="24"/>
        </w:rPr>
        <w:t xml:space="preserve">Ферро </w:t>
      </w:r>
      <w:proofErr w:type="spellStart"/>
      <w:r w:rsidR="00EF146E" w:rsidRPr="006951B7">
        <w:rPr>
          <w:rFonts w:ascii="Times New Roman" w:hAnsi="Times New Roman"/>
          <w:color w:val="000000"/>
          <w:sz w:val="24"/>
          <w:szCs w:val="24"/>
        </w:rPr>
        <w:t>Витале</w:t>
      </w:r>
      <w:proofErr w:type="spellEnd"/>
      <w:r w:rsidRPr="006951B7">
        <w:rPr>
          <w:rFonts w:ascii="Times New Roman" w:hAnsi="Times New Roman"/>
          <w:color w:val="000000"/>
          <w:sz w:val="24"/>
          <w:szCs w:val="24"/>
        </w:rPr>
        <w:t xml:space="preserve"> в период беременности, </w:t>
      </w:r>
      <w:r w:rsidRPr="006951B7">
        <w:rPr>
          <w:rFonts w:ascii="Times New Roman" w:hAnsi="Times New Roman"/>
          <w:bCs/>
          <w:color w:val="000000"/>
          <w:sz w:val="24"/>
          <w:szCs w:val="24"/>
        </w:rPr>
        <w:t>за исключением случая явной необходимости</w:t>
      </w:r>
      <w:r w:rsidRPr="006951B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2F926D4" w14:textId="77777777" w:rsidR="00E47E48" w:rsidRPr="006951B7" w:rsidRDefault="00E47E48" w:rsidP="00AE31A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51B7">
        <w:rPr>
          <w:rFonts w:ascii="Times New Roman" w:hAnsi="Times New Roman"/>
          <w:bCs/>
          <w:color w:val="000000"/>
          <w:sz w:val="24"/>
          <w:szCs w:val="24"/>
        </w:rPr>
        <w:t xml:space="preserve">Железодефицитную анемию в первом триместре беременности, во многих случаях, можно лечить пероральными препаратами железа. Лечение препаратом </w:t>
      </w:r>
      <w:r w:rsidR="00EF146E" w:rsidRPr="006951B7">
        <w:rPr>
          <w:rFonts w:ascii="Times New Roman" w:hAnsi="Times New Roman"/>
          <w:color w:val="000000"/>
          <w:sz w:val="24"/>
          <w:szCs w:val="24"/>
        </w:rPr>
        <w:t xml:space="preserve">Ферро </w:t>
      </w:r>
      <w:proofErr w:type="spellStart"/>
      <w:r w:rsidR="00EF146E" w:rsidRPr="006951B7">
        <w:rPr>
          <w:rFonts w:ascii="Times New Roman" w:hAnsi="Times New Roman"/>
          <w:color w:val="000000"/>
          <w:sz w:val="24"/>
          <w:szCs w:val="24"/>
        </w:rPr>
        <w:t>Витале</w:t>
      </w:r>
      <w:proofErr w:type="spellEnd"/>
      <w:r w:rsidRPr="006951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51B7">
        <w:rPr>
          <w:rFonts w:ascii="Times New Roman" w:hAnsi="Times New Roman"/>
          <w:bCs/>
          <w:color w:val="000000"/>
          <w:sz w:val="24"/>
          <w:szCs w:val="24"/>
        </w:rPr>
        <w:t>должно ограничиваться вторым и третьим триместрами беременности, только в том случае, если потенциальная польза превышает риск для матери и плода.</w:t>
      </w:r>
    </w:p>
    <w:p w14:paraId="2B533D5A" w14:textId="77777777" w:rsidR="00EF146E" w:rsidRPr="006951B7" w:rsidRDefault="00EF146E" w:rsidP="00EF146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51B7">
        <w:rPr>
          <w:rFonts w:ascii="Times New Roman" w:hAnsi="Times New Roman"/>
          <w:bCs/>
          <w:color w:val="000000"/>
          <w:sz w:val="24"/>
          <w:szCs w:val="24"/>
        </w:rPr>
        <w:t>После парентерального введения железа может возникнуть брадикардия плода. Это обычно временное явление и является следствием реакции гиперчувствительности у матери. Нерожденный ребенок должен находиться под тщательным наблюдением во время внутривенного введения парентерального железа беременным женщинам.</w:t>
      </w:r>
    </w:p>
    <w:p w14:paraId="3365713A" w14:textId="77777777" w:rsidR="00EF146E" w:rsidRPr="006951B7" w:rsidRDefault="00EF146E" w:rsidP="00AE31A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51B7">
        <w:rPr>
          <w:rFonts w:ascii="Times New Roman" w:hAnsi="Times New Roman"/>
          <w:bCs/>
          <w:color w:val="000000"/>
          <w:sz w:val="24"/>
          <w:szCs w:val="24"/>
        </w:rPr>
        <w:t>Исследования на животных не указывают на прямое или косвенное вредное воздействие в отношении репродуктивной токсичности.</w:t>
      </w:r>
    </w:p>
    <w:p w14:paraId="55B58C25" w14:textId="77777777" w:rsidR="00E47E48" w:rsidRPr="006951B7" w:rsidRDefault="00E47E48" w:rsidP="00AE31A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951B7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30CE4B9F" w14:textId="77777777" w:rsidR="004C2640" w:rsidRPr="006951B7" w:rsidRDefault="004C2640" w:rsidP="004C2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51B7">
        <w:rPr>
          <w:rFonts w:ascii="Times New Roman" w:hAnsi="Times New Roman"/>
          <w:color w:val="000000"/>
          <w:sz w:val="24"/>
          <w:szCs w:val="24"/>
        </w:rPr>
        <w:t xml:space="preserve">У кормящих крыс, получавших комплекс гидроксида железа с сахарозой, наблюдалась низкая экскреция железа в молоко и передача железа к детенышам. </w:t>
      </w:r>
      <w:proofErr w:type="spellStart"/>
      <w:r w:rsidRPr="006951B7">
        <w:rPr>
          <w:rFonts w:ascii="Times New Roman" w:hAnsi="Times New Roman"/>
          <w:color w:val="000000"/>
          <w:sz w:val="24"/>
          <w:szCs w:val="24"/>
        </w:rPr>
        <w:t>Неметаболизированный</w:t>
      </w:r>
      <w:proofErr w:type="spellEnd"/>
      <w:r w:rsidRPr="006951B7">
        <w:rPr>
          <w:rFonts w:ascii="Times New Roman" w:hAnsi="Times New Roman"/>
          <w:color w:val="000000"/>
          <w:sz w:val="24"/>
          <w:szCs w:val="24"/>
        </w:rPr>
        <w:t xml:space="preserve"> комплекс гидроксида железа и сахарозы маловероятно может секретироваться в грудное молоко.</w:t>
      </w:r>
    </w:p>
    <w:p w14:paraId="7537E6FA" w14:textId="77777777" w:rsidR="004C2640" w:rsidRPr="006951B7" w:rsidRDefault="004C2640" w:rsidP="004C2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51B7">
        <w:rPr>
          <w:rFonts w:ascii="Times New Roman" w:hAnsi="Times New Roman"/>
          <w:color w:val="000000"/>
          <w:sz w:val="24"/>
          <w:szCs w:val="24"/>
        </w:rPr>
        <w:t>У кормящих матерей с дефицитом железа содержание железа в грудном молоке не повышалось после введения железа в форме комплекса гидроксида железа с сахарозой.</w:t>
      </w:r>
    </w:p>
    <w:p w14:paraId="7CA50B50" w14:textId="77777777" w:rsidR="004C2640" w:rsidRPr="006951B7" w:rsidRDefault="004C2640" w:rsidP="004C2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51B7">
        <w:rPr>
          <w:rFonts w:ascii="Times New Roman" w:hAnsi="Times New Roman"/>
          <w:color w:val="000000"/>
          <w:sz w:val="24"/>
          <w:szCs w:val="24"/>
        </w:rPr>
        <w:t xml:space="preserve">Однако нельзя исключать, что новорожденные/младенцы могут подвергаться воздействию железа, содержащегося в Ферро </w:t>
      </w:r>
      <w:proofErr w:type="spellStart"/>
      <w:r w:rsidRPr="006951B7">
        <w:rPr>
          <w:rFonts w:ascii="Times New Roman" w:hAnsi="Times New Roman"/>
          <w:color w:val="000000"/>
          <w:sz w:val="24"/>
          <w:szCs w:val="24"/>
        </w:rPr>
        <w:t>Витале</w:t>
      </w:r>
      <w:proofErr w:type="spellEnd"/>
      <w:r w:rsidRPr="006951B7">
        <w:rPr>
          <w:rFonts w:ascii="Times New Roman" w:hAnsi="Times New Roman"/>
          <w:color w:val="000000"/>
          <w:sz w:val="24"/>
          <w:szCs w:val="24"/>
        </w:rPr>
        <w:t xml:space="preserve"> через грудное молоко.</w:t>
      </w:r>
    </w:p>
    <w:p w14:paraId="62AFFE10" w14:textId="77777777" w:rsidR="004C2640" w:rsidRPr="006951B7" w:rsidRDefault="004C2640" w:rsidP="004C2640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951B7">
        <w:rPr>
          <w:rFonts w:ascii="Times New Roman" w:hAnsi="Times New Roman"/>
          <w:color w:val="000000"/>
          <w:sz w:val="24"/>
          <w:szCs w:val="24"/>
        </w:rPr>
        <w:lastRenderedPageBreak/>
        <w:t>Решение о прекращении грудного вскармливания или лечения должно быть принято с учетом пользы грудного вскармливания для ребенка по сравнению с пользой лечения для матери.</w:t>
      </w:r>
      <w:r w:rsidRPr="006951B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14B28B59" w14:textId="77777777" w:rsidR="00240487" w:rsidRPr="006951B7" w:rsidRDefault="00240487" w:rsidP="004C2640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951B7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20989F83" w14:textId="77777777" w:rsidR="003C7B7E" w:rsidRPr="006951B7" w:rsidRDefault="00595D11" w:rsidP="00AE3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51B7">
        <w:rPr>
          <w:rFonts w:ascii="Times New Roman" w:hAnsi="Times New Roman"/>
          <w:color w:val="000000"/>
          <w:sz w:val="24"/>
          <w:szCs w:val="24"/>
        </w:rPr>
        <w:t>При применении железа сахарозы у крыс какого</w:t>
      </w:r>
      <w:r w:rsidR="00E71CB3" w:rsidRPr="006951B7">
        <w:rPr>
          <w:rFonts w:ascii="Times New Roman" w:hAnsi="Times New Roman"/>
          <w:color w:val="000000"/>
          <w:sz w:val="24"/>
          <w:szCs w:val="24"/>
        </w:rPr>
        <w:t>-</w:t>
      </w:r>
      <w:r w:rsidRPr="006951B7">
        <w:rPr>
          <w:rFonts w:ascii="Times New Roman" w:hAnsi="Times New Roman"/>
          <w:color w:val="000000"/>
          <w:sz w:val="24"/>
          <w:szCs w:val="24"/>
        </w:rPr>
        <w:t>либо</w:t>
      </w:r>
      <w:r w:rsidR="003C7B7E" w:rsidRPr="006951B7">
        <w:rPr>
          <w:rFonts w:ascii="Times New Roman" w:hAnsi="Times New Roman"/>
          <w:color w:val="000000"/>
          <w:sz w:val="24"/>
          <w:szCs w:val="24"/>
        </w:rPr>
        <w:t xml:space="preserve"> воздействи</w:t>
      </w:r>
      <w:r w:rsidRPr="006951B7">
        <w:rPr>
          <w:rFonts w:ascii="Times New Roman" w:hAnsi="Times New Roman"/>
          <w:color w:val="000000"/>
          <w:sz w:val="24"/>
          <w:szCs w:val="24"/>
        </w:rPr>
        <w:t xml:space="preserve">я на </w:t>
      </w:r>
      <w:r w:rsidR="003C7B7E" w:rsidRPr="006951B7">
        <w:rPr>
          <w:rFonts w:ascii="Times New Roman" w:hAnsi="Times New Roman"/>
          <w:color w:val="000000"/>
          <w:sz w:val="24"/>
          <w:szCs w:val="24"/>
        </w:rPr>
        <w:t>фертильность</w:t>
      </w:r>
      <w:r w:rsidRPr="006951B7">
        <w:rPr>
          <w:rFonts w:ascii="Times New Roman" w:hAnsi="Times New Roman"/>
          <w:color w:val="000000"/>
          <w:sz w:val="24"/>
          <w:szCs w:val="24"/>
        </w:rPr>
        <w:t>, спаривание и ранее развитие эмбрионов</w:t>
      </w:r>
      <w:r w:rsidR="00E71CB3" w:rsidRPr="006951B7">
        <w:rPr>
          <w:rFonts w:ascii="Times New Roman" w:hAnsi="Times New Roman"/>
          <w:color w:val="000000"/>
          <w:sz w:val="24"/>
          <w:szCs w:val="24"/>
        </w:rPr>
        <w:t xml:space="preserve"> не наблюдалось.</w:t>
      </w:r>
    </w:p>
    <w:p w14:paraId="1A2C37B0" w14:textId="77777777" w:rsidR="00240487" w:rsidRPr="006951B7" w:rsidRDefault="00240487" w:rsidP="00AE3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611F46" w14:textId="77777777" w:rsidR="00CE7F7F" w:rsidRPr="006951B7" w:rsidRDefault="00DB406A" w:rsidP="00AE31A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6951B7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0" w:name="2175220282"/>
    </w:p>
    <w:p w14:paraId="01F98D16" w14:textId="77777777" w:rsidR="00595D11" w:rsidRPr="006951B7" w:rsidRDefault="00595D11" w:rsidP="00AE31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появления таких симптомов, как головокружение, спутанность сознания или полуобморочное состояние после введения препарата </w:t>
      </w:r>
      <w:r w:rsidR="00FB5EA1"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Ферро </w:t>
      </w:r>
      <w:proofErr w:type="spellStart"/>
      <w:r w:rsidR="00FB5EA1" w:rsidRPr="006951B7">
        <w:rPr>
          <w:rFonts w:ascii="Times New Roman" w:eastAsia="Times New Roman" w:hAnsi="Times New Roman"/>
          <w:sz w:val="24"/>
          <w:szCs w:val="24"/>
          <w:lang w:eastAsia="ru-RU"/>
        </w:rPr>
        <w:t>Витале</w:t>
      </w:r>
      <w:proofErr w:type="spellEnd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, пациенты не должны управлять транспортными средствами или работать с другими автоматизированными системами до исчезновения этих симптомов.</w:t>
      </w:r>
    </w:p>
    <w:p w14:paraId="5DA63180" w14:textId="77777777" w:rsidR="002E04B7" w:rsidRPr="006951B7" w:rsidRDefault="002E04B7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C5D14B" w14:textId="77777777" w:rsidR="009D67EC" w:rsidRPr="006951B7" w:rsidRDefault="009D67EC" w:rsidP="00AE3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0"/>
    </w:p>
    <w:p w14:paraId="7EFB1A43" w14:textId="77777777" w:rsidR="00E32AF0" w:rsidRPr="006951B7" w:rsidRDefault="00E32AF0" w:rsidP="00E32A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951B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Определение частоты побочных явлений проводится в соответствии со следующими критериями: </w:t>
      </w:r>
      <w:r w:rsidRPr="006951B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очень часто (≥ 1/10), часто (≥ от 1/100 до </w:t>
      </w:r>
      <w:proofErr w:type="gramStart"/>
      <w:r w:rsidRPr="006951B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&lt; 1</w:t>
      </w:r>
      <w:proofErr w:type="gramEnd"/>
      <w:r w:rsidRPr="006951B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/10), нечасто (≥ от 1/1000 до &lt; 1/100), редко (≥ 1/10000 до  &lt; 1/1000), очень редко (&lt; 1/10000),</w:t>
      </w:r>
      <w:r w:rsidRPr="006951B7">
        <w:rPr>
          <w:rFonts w:ascii="Times New Roman" w:hAnsi="Times New Roman"/>
          <w:i/>
          <w:sz w:val="24"/>
          <w:szCs w:val="24"/>
        </w:rPr>
        <w:t xml:space="preserve"> неизвестно (невозможно оценить на основании имеющихся данных).</w:t>
      </w:r>
    </w:p>
    <w:p w14:paraId="022B6B63" w14:textId="77777777" w:rsidR="00E32AF0" w:rsidRPr="006951B7" w:rsidRDefault="00E32AF0" w:rsidP="00E32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Наиболее частой нежелательной реакцией на лекарство в клинических испытаниях с </w:t>
      </w:r>
      <w:proofErr w:type="spellStart"/>
      <w:r w:rsidRPr="006951B7">
        <w:rPr>
          <w:rFonts w:ascii="Times New Roman" w:hAnsi="Times New Roman"/>
          <w:sz w:val="24"/>
          <w:szCs w:val="24"/>
        </w:rPr>
        <w:t>железосахарозным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комплексом была </w:t>
      </w:r>
      <w:proofErr w:type="spellStart"/>
      <w:r w:rsidRPr="006951B7">
        <w:rPr>
          <w:rFonts w:ascii="Times New Roman" w:hAnsi="Times New Roman"/>
          <w:sz w:val="24"/>
          <w:szCs w:val="24"/>
        </w:rPr>
        <w:t>дисгевзия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(нарушение вкусовых ощущений), которая имела место с частотой 4,5 </w:t>
      </w:r>
      <w:r w:rsidR="004C2640" w:rsidRPr="006951B7">
        <w:rPr>
          <w:rFonts w:ascii="Times New Roman" w:hAnsi="Times New Roman"/>
          <w:sz w:val="24"/>
          <w:szCs w:val="24"/>
        </w:rPr>
        <w:t>%</w:t>
      </w:r>
      <w:r w:rsidRPr="006951B7">
        <w:rPr>
          <w:rFonts w:ascii="Times New Roman" w:hAnsi="Times New Roman"/>
          <w:sz w:val="24"/>
          <w:szCs w:val="24"/>
        </w:rPr>
        <w:t xml:space="preserve">. Наиболее важными серьезными побочными реакциями, связанными с </w:t>
      </w:r>
      <w:proofErr w:type="spellStart"/>
      <w:r w:rsidRPr="006951B7">
        <w:rPr>
          <w:rFonts w:ascii="Times New Roman" w:hAnsi="Times New Roman"/>
          <w:sz w:val="24"/>
          <w:szCs w:val="24"/>
        </w:rPr>
        <w:t>железосахарозным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комплексом, являются реакции гиперчувствительности, которые в клинических испытаниях встречались с частотой 0,25 </w:t>
      </w:r>
      <w:r w:rsidR="004C2640" w:rsidRPr="006951B7">
        <w:rPr>
          <w:rFonts w:ascii="Times New Roman" w:hAnsi="Times New Roman"/>
          <w:sz w:val="24"/>
          <w:szCs w:val="24"/>
        </w:rPr>
        <w:t>%</w:t>
      </w:r>
      <w:r w:rsidRPr="006951B7">
        <w:rPr>
          <w:rFonts w:ascii="Times New Roman" w:hAnsi="Times New Roman"/>
          <w:sz w:val="24"/>
          <w:szCs w:val="24"/>
        </w:rPr>
        <w:t xml:space="preserve">. Об </w:t>
      </w:r>
      <w:proofErr w:type="spellStart"/>
      <w:r w:rsidRPr="006951B7">
        <w:rPr>
          <w:rFonts w:ascii="Times New Roman" w:hAnsi="Times New Roman"/>
          <w:sz w:val="24"/>
          <w:szCs w:val="24"/>
        </w:rPr>
        <w:t>анафилактоидных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/ анафилактических реакциях сообщалось только из </w:t>
      </w:r>
      <w:proofErr w:type="spellStart"/>
      <w:r w:rsidRPr="006951B7">
        <w:rPr>
          <w:rFonts w:ascii="Times New Roman" w:hAnsi="Times New Roman"/>
          <w:sz w:val="24"/>
          <w:szCs w:val="24"/>
        </w:rPr>
        <w:t>постмаркетингового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опыта (оценивается как редко); о смертельных случаях не сообщалось. </w:t>
      </w:r>
    </w:p>
    <w:p w14:paraId="56C36FEF" w14:textId="77777777" w:rsidR="00E32AF0" w:rsidRPr="006951B7" w:rsidRDefault="00E32AF0" w:rsidP="00E32A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hAnsi="Times New Roman"/>
          <w:sz w:val="24"/>
          <w:szCs w:val="24"/>
        </w:rPr>
        <w:t xml:space="preserve">Нежелательные лекарственные реакции, о которых сообщалось после введения </w:t>
      </w:r>
      <w:proofErr w:type="spellStart"/>
      <w:r w:rsidRPr="006951B7">
        <w:rPr>
          <w:rFonts w:ascii="Times New Roman" w:hAnsi="Times New Roman"/>
          <w:sz w:val="24"/>
          <w:szCs w:val="24"/>
        </w:rPr>
        <w:t>железосахарозного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комплекса у 4064 пациентов в клинических испытаниях, а также те, о которых сообщалось из </w:t>
      </w:r>
      <w:proofErr w:type="spellStart"/>
      <w:r w:rsidRPr="006951B7">
        <w:rPr>
          <w:rFonts w:ascii="Times New Roman" w:hAnsi="Times New Roman"/>
          <w:sz w:val="24"/>
          <w:szCs w:val="24"/>
        </w:rPr>
        <w:t>постмаркетингового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применения, представлены в таблице ниже.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457"/>
        <w:gridCol w:w="1860"/>
        <w:gridCol w:w="2360"/>
        <w:gridCol w:w="1828"/>
        <w:gridCol w:w="1782"/>
      </w:tblGrid>
      <w:tr w:rsidR="00E32AF0" w:rsidRPr="006951B7" w14:paraId="2DBCCAE6" w14:textId="77777777" w:rsidTr="00E81817">
        <w:tc>
          <w:tcPr>
            <w:tcW w:w="2093" w:type="dxa"/>
          </w:tcPr>
          <w:p w14:paraId="22A9FBCB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b/>
                <w:bCs/>
                <w:sz w:val="24"/>
                <w:szCs w:val="24"/>
              </w:rPr>
              <w:t>Класс системы органов</w:t>
            </w:r>
          </w:p>
        </w:tc>
        <w:tc>
          <w:tcPr>
            <w:tcW w:w="1621" w:type="dxa"/>
          </w:tcPr>
          <w:p w14:paraId="6E2D6EAA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Часто (≥1/100, &lt;1/10)</w:t>
            </w:r>
          </w:p>
        </w:tc>
        <w:tc>
          <w:tcPr>
            <w:tcW w:w="1781" w:type="dxa"/>
          </w:tcPr>
          <w:p w14:paraId="5FFB5A61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Нечасто (≥1/1,000, &lt;1/100)</w:t>
            </w:r>
          </w:p>
        </w:tc>
        <w:tc>
          <w:tcPr>
            <w:tcW w:w="1559" w:type="dxa"/>
          </w:tcPr>
          <w:p w14:paraId="48C7275C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Редко (≥1/10,000, &lt;1/1,000)</w:t>
            </w:r>
          </w:p>
        </w:tc>
        <w:tc>
          <w:tcPr>
            <w:tcW w:w="2083" w:type="dxa"/>
          </w:tcPr>
          <w:p w14:paraId="1B3DD262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Частота неизвестна</w:t>
            </w:r>
            <w:r w:rsidRPr="00695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1)</w:t>
            </w:r>
          </w:p>
        </w:tc>
      </w:tr>
      <w:tr w:rsidR="00E32AF0" w:rsidRPr="006951B7" w14:paraId="28F964F9" w14:textId="77777777" w:rsidTr="00E81817">
        <w:tc>
          <w:tcPr>
            <w:tcW w:w="2093" w:type="dxa"/>
          </w:tcPr>
          <w:p w14:paraId="3EC0B677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sz w:val="24"/>
                <w:szCs w:val="24"/>
              </w:rPr>
              <w:t>Расстройства со стороны иммунной системы</w:t>
            </w:r>
          </w:p>
        </w:tc>
        <w:tc>
          <w:tcPr>
            <w:tcW w:w="1621" w:type="dxa"/>
          </w:tcPr>
          <w:p w14:paraId="0224D611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A34EDB1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Гиперчувствительность</w:t>
            </w:r>
          </w:p>
        </w:tc>
        <w:tc>
          <w:tcPr>
            <w:tcW w:w="1559" w:type="dxa"/>
          </w:tcPr>
          <w:p w14:paraId="3B8F7CE4" w14:textId="77777777" w:rsidR="00E32AF0" w:rsidRPr="006951B7" w:rsidRDefault="00E32AF0" w:rsidP="00E81817">
            <w:pPr>
              <w:spacing w:after="0" w:line="240" w:lineRule="auto"/>
              <w:ind w:right="-1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14:paraId="0AB6FC4A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Анафилактоид-ные</w:t>
            </w:r>
            <w:proofErr w:type="spellEnd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анафилакти-ческие</w:t>
            </w:r>
            <w:proofErr w:type="spellEnd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реакции</w:t>
            </w:r>
            <w:r w:rsidR="004C2640" w:rsidRPr="006951B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, ангионевротический отек</w:t>
            </w:r>
          </w:p>
        </w:tc>
      </w:tr>
      <w:tr w:rsidR="00E32AF0" w:rsidRPr="006951B7" w14:paraId="6F6571A7" w14:textId="77777777" w:rsidTr="00E81817">
        <w:tc>
          <w:tcPr>
            <w:tcW w:w="2093" w:type="dxa"/>
          </w:tcPr>
          <w:p w14:paraId="02A35FE1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sz w:val="24"/>
                <w:szCs w:val="24"/>
              </w:rPr>
              <w:t>Расстройства со стороны нервной системы</w:t>
            </w:r>
          </w:p>
        </w:tc>
        <w:tc>
          <w:tcPr>
            <w:tcW w:w="1621" w:type="dxa"/>
          </w:tcPr>
          <w:p w14:paraId="50A1EFC9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Дисгевзия</w:t>
            </w:r>
            <w:proofErr w:type="spellEnd"/>
          </w:p>
        </w:tc>
        <w:tc>
          <w:tcPr>
            <w:tcW w:w="1781" w:type="dxa"/>
          </w:tcPr>
          <w:p w14:paraId="6F78E2F0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Головная боль, головокружение, </w:t>
            </w:r>
            <w:r w:rsidR="007B202A"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ощущение жжения, </w:t>
            </w: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парестезия, гипестезия</w:t>
            </w:r>
          </w:p>
        </w:tc>
        <w:tc>
          <w:tcPr>
            <w:tcW w:w="1559" w:type="dxa"/>
          </w:tcPr>
          <w:p w14:paraId="0BA6F7C5" w14:textId="77777777" w:rsidR="00E32AF0" w:rsidRPr="006951B7" w:rsidRDefault="00E32AF0" w:rsidP="00E81817">
            <w:pPr>
              <w:spacing w:after="0" w:line="240" w:lineRule="auto"/>
              <w:ind w:right="-1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Обморок, сонливость</w:t>
            </w:r>
          </w:p>
        </w:tc>
        <w:tc>
          <w:tcPr>
            <w:tcW w:w="2083" w:type="dxa"/>
          </w:tcPr>
          <w:p w14:paraId="1F7BE74F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Подавленный уровень сознания, состояние спутанности сознания, потеря сознания, беспокойство, </w:t>
            </w: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тремор</w:t>
            </w:r>
          </w:p>
        </w:tc>
      </w:tr>
      <w:tr w:rsidR="00E32AF0" w:rsidRPr="006951B7" w14:paraId="262299C0" w14:textId="77777777" w:rsidTr="00E81817">
        <w:tc>
          <w:tcPr>
            <w:tcW w:w="2093" w:type="dxa"/>
          </w:tcPr>
          <w:p w14:paraId="21C5F71A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sz w:val="24"/>
                <w:szCs w:val="24"/>
              </w:rPr>
              <w:t>Сердечные расстройства</w:t>
            </w:r>
          </w:p>
        </w:tc>
        <w:tc>
          <w:tcPr>
            <w:tcW w:w="1621" w:type="dxa"/>
          </w:tcPr>
          <w:p w14:paraId="42A5556B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14:paraId="5BCAD3D1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F2CF2FD" w14:textId="77777777" w:rsidR="00E32AF0" w:rsidRPr="006951B7" w:rsidRDefault="00E32AF0" w:rsidP="00E81817">
            <w:pPr>
              <w:spacing w:after="0" w:line="240" w:lineRule="auto"/>
              <w:ind w:right="-1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Пальпитация</w:t>
            </w:r>
          </w:p>
        </w:tc>
        <w:tc>
          <w:tcPr>
            <w:tcW w:w="2083" w:type="dxa"/>
          </w:tcPr>
          <w:p w14:paraId="4A728344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Брадикардия, тахикардия, синдром </w:t>
            </w:r>
            <w:proofErr w:type="spellStart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A7536F"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униса</w:t>
            </w:r>
            <w:proofErr w:type="spellEnd"/>
          </w:p>
        </w:tc>
      </w:tr>
      <w:tr w:rsidR="00E32AF0" w:rsidRPr="006951B7" w14:paraId="39418EB4" w14:textId="77777777" w:rsidTr="00E81817">
        <w:tc>
          <w:tcPr>
            <w:tcW w:w="2093" w:type="dxa"/>
          </w:tcPr>
          <w:p w14:paraId="1871309F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sz w:val="24"/>
                <w:szCs w:val="24"/>
              </w:rPr>
              <w:t>Сосудистые расстройства</w:t>
            </w:r>
          </w:p>
        </w:tc>
        <w:tc>
          <w:tcPr>
            <w:tcW w:w="1621" w:type="dxa"/>
          </w:tcPr>
          <w:p w14:paraId="4962FD62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Гипотензия, гипертензия</w:t>
            </w:r>
          </w:p>
        </w:tc>
        <w:tc>
          <w:tcPr>
            <w:tcW w:w="1781" w:type="dxa"/>
          </w:tcPr>
          <w:p w14:paraId="759F6639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Приливы, флебит</w:t>
            </w:r>
          </w:p>
        </w:tc>
        <w:tc>
          <w:tcPr>
            <w:tcW w:w="1559" w:type="dxa"/>
          </w:tcPr>
          <w:p w14:paraId="7F219FCD" w14:textId="77777777" w:rsidR="00E32AF0" w:rsidRPr="006951B7" w:rsidRDefault="00E32AF0" w:rsidP="00E81817">
            <w:pPr>
              <w:spacing w:after="0" w:line="240" w:lineRule="auto"/>
              <w:ind w:right="-1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14:paraId="47FC687E" w14:textId="77777777" w:rsidR="00E32AF0" w:rsidRPr="006951B7" w:rsidRDefault="00937F96" w:rsidP="00E81817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Циркуляторный к</w:t>
            </w:r>
            <w:r w:rsidR="00E32AF0"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оллапс, тромбофлебит</w:t>
            </w:r>
          </w:p>
        </w:tc>
      </w:tr>
      <w:tr w:rsidR="00E32AF0" w:rsidRPr="006951B7" w14:paraId="22B88970" w14:textId="77777777" w:rsidTr="00E81817">
        <w:tc>
          <w:tcPr>
            <w:tcW w:w="2093" w:type="dxa"/>
          </w:tcPr>
          <w:p w14:paraId="230C5C92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sz w:val="24"/>
                <w:szCs w:val="24"/>
              </w:rPr>
              <w:t>Расстройства со стороны органов дыхания, грудной клетки и средостения</w:t>
            </w:r>
          </w:p>
        </w:tc>
        <w:tc>
          <w:tcPr>
            <w:tcW w:w="1621" w:type="dxa"/>
          </w:tcPr>
          <w:p w14:paraId="2C4803F7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14:paraId="61CCD3AD" w14:textId="77777777" w:rsidR="00E32AF0" w:rsidRPr="006951B7" w:rsidRDefault="00E32AF0" w:rsidP="00E81817">
            <w:pPr>
              <w:spacing w:after="0" w:line="240" w:lineRule="auto"/>
              <w:ind w:left="-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Одышка</w:t>
            </w:r>
          </w:p>
        </w:tc>
        <w:tc>
          <w:tcPr>
            <w:tcW w:w="1559" w:type="dxa"/>
          </w:tcPr>
          <w:p w14:paraId="09E16F7D" w14:textId="77777777" w:rsidR="00E32AF0" w:rsidRPr="006951B7" w:rsidRDefault="00E32AF0" w:rsidP="00E81817">
            <w:pPr>
              <w:spacing w:after="0" w:line="240" w:lineRule="auto"/>
              <w:ind w:right="-1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14:paraId="287EC782" w14:textId="77777777" w:rsidR="00E32AF0" w:rsidRPr="006951B7" w:rsidRDefault="00E32AF0" w:rsidP="00E81817">
            <w:pPr>
              <w:tabs>
                <w:tab w:val="left" w:pos="144"/>
                <w:tab w:val="left" w:pos="229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Бронхоспазм</w:t>
            </w:r>
          </w:p>
        </w:tc>
      </w:tr>
      <w:tr w:rsidR="00E32AF0" w:rsidRPr="006951B7" w14:paraId="1442CB43" w14:textId="77777777" w:rsidTr="00E81817">
        <w:tc>
          <w:tcPr>
            <w:tcW w:w="2093" w:type="dxa"/>
          </w:tcPr>
          <w:p w14:paraId="1C7D64E8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sz w:val="24"/>
                <w:szCs w:val="24"/>
              </w:rPr>
              <w:t>Расстройства со стороны почек и мочевыводящих путей</w:t>
            </w:r>
          </w:p>
        </w:tc>
        <w:tc>
          <w:tcPr>
            <w:tcW w:w="1621" w:type="dxa"/>
          </w:tcPr>
          <w:p w14:paraId="1194DC3F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14:paraId="16D206B3" w14:textId="77777777" w:rsidR="00E32AF0" w:rsidRPr="006951B7" w:rsidRDefault="00E32AF0" w:rsidP="00E81817">
            <w:pPr>
              <w:spacing w:after="0" w:line="240" w:lineRule="auto"/>
              <w:ind w:left="-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57C225" w14:textId="77777777" w:rsidR="00E32AF0" w:rsidRPr="006951B7" w:rsidRDefault="00E32AF0" w:rsidP="00E81817">
            <w:pPr>
              <w:spacing w:after="0" w:line="240" w:lineRule="auto"/>
              <w:ind w:right="-1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Хроматурия</w:t>
            </w:r>
            <w:proofErr w:type="spellEnd"/>
          </w:p>
        </w:tc>
        <w:tc>
          <w:tcPr>
            <w:tcW w:w="2083" w:type="dxa"/>
          </w:tcPr>
          <w:p w14:paraId="4BBFB2FF" w14:textId="77777777" w:rsidR="00E32AF0" w:rsidRPr="006951B7" w:rsidRDefault="00E32AF0" w:rsidP="00E81817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32AF0" w:rsidRPr="006951B7" w14:paraId="2CD6F90E" w14:textId="77777777" w:rsidTr="00E81817">
        <w:tc>
          <w:tcPr>
            <w:tcW w:w="2093" w:type="dxa"/>
          </w:tcPr>
          <w:p w14:paraId="617C8F05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sz w:val="24"/>
                <w:szCs w:val="24"/>
              </w:rPr>
              <w:t>Желудочно-кишечные расстройства</w:t>
            </w:r>
          </w:p>
        </w:tc>
        <w:tc>
          <w:tcPr>
            <w:tcW w:w="1621" w:type="dxa"/>
          </w:tcPr>
          <w:p w14:paraId="0287B02D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Тошнота</w:t>
            </w:r>
          </w:p>
        </w:tc>
        <w:tc>
          <w:tcPr>
            <w:tcW w:w="1781" w:type="dxa"/>
          </w:tcPr>
          <w:p w14:paraId="2A7E5D67" w14:textId="77777777" w:rsidR="00E32AF0" w:rsidRPr="006951B7" w:rsidRDefault="00E32AF0" w:rsidP="00E81817">
            <w:pPr>
              <w:spacing w:after="0" w:line="240" w:lineRule="auto"/>
              <w:ind w:left="-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Рвота, боли в животе, диарея, запор </w:t>
            </w:r>
          </w:p>
        </w:tc>
        <w:tc>
          <w:tcPr>
            <w:tcW w:w="1559" w:type="dxa"/>
          </w:tcPr>
          <w:p w14:paraId="4CD214F5" w14:textId="77777777" w:rsidR="00E32AF0" w:rsidRPr="006951B7" w:rsidRDefault="00E32AF0" w:rsidP="00E81817">
            <w:pPr>
              <w:spacing w:after="0" w:line="240" w:lineRule="auto"/>
              <w:ind w:right="-1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14:paraId="327AD1FF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2AF0" w:rsidRPr="006951B7" w14:paraId="455EA00C" w14:textId="77777777" w:rsidTr="00E81817">
        <w:tc>
          <w:tcPr>
            <w:tcW w:w="2093" w:type="dxa"/>
          </w:tcPr>
          <w:p w14:paraId="4E1D6A9F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sz w:val="24"/>
                <w:szCs w:val="24"/>
              </w:rPr>
              <w:t>Заболевания кожи и подкожной клетчатки</w:t>
            </w:r>
          </w:p>
        </w:tc>
        <w:tc>
          <w:tcPr>
            <w:tcW w:w="1621" w:type="dxa"/>
          </w:tcPr>
          <w:p w14:paraId="59903C1D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14:paraId="0D5F0306" w14:textId="77777777" w:rsidR="00E32AF0" w:rsidRPr="006951B7" w:rsidRDefault="00E32AF0" w:rsidP="00E81817">
            <w:pPr>
              <w:spacing w:after="0" w:line="240" w:lineRule="auto"/>
              <w:ind w:left="-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Зуд, сыпь</w:t>
            </w:r>
          </w:p>
        </w:tc>
        <w:tc>
          <w:tcPr>
            <w:tcW w:w="1559" w:type="dxa"/>
          </w:tcPr>
          <w:p w14:paraId="1103B288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14:paraId="55E4CB78" w14:textId="77777777" w:rsidR="00E32AF0" w:rsidRPr="006951B7" w:rsidRDefault="00E32AF0" w:rsidP="00E81817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Крапивница, эритема</w:t>
            </w:r>
          </w:p>
        </w:tc>
      </w:tr>
      <w:tr w:rsidR="00E32AF0" w:rsidRPr="006951B7" w14:paraId="61E50F07" w14:textId="77777777" w:rsidTr="00E81817">
        <w:tc>
          <w:tcPr>
            <w:tcW w:w="2093" w:type="dxa"/>
          </w:tcPr>
          <w:p w14:paraId="5A2EC3F3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sz w:val="24"/>
                <w:szCs w:val="24"/>
              </w:rPr>
              <w:t>Расстройства со стороны опорно-двигательного аппарата и соединительной ткани</w:t>
            </w:r>
          </w:p>
        </w:tc>
        <w:tc>
          <w:tcPr>
            <w:tcW w:w="1621" w:type="dxa"/>
          </w:tcPr>
          <w:p w14:paraId="4F202814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14:paraId="1FAE6933" w14:textId="77777777" w:rsidR="00E32AF0" w:rsidRPr="006951B7" w:rsidRDefault="00E32AF0" w:rsidP="00E81817">
            <w:pPr>
              <w:spacing w:after="0" w:line="240" w:lineRule="auto"/>
              <w:ind w:left="-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Мышечный спазм, миалгия, артралгия, боли в конечностях, боли в спине</w:t>
            </w:r>
          </w:p>
        </w:tc>
        <w:tc>
          <w:tcPr>
            <w:tcW w:w="1559" w:type="dxa"/>
          </w:tcPr>
          <w:p w14:paraId="01068C84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3496643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2AF0" w:rsidRPr="006951B7" w14:paraId="619349CB" w14:textId="77777777" w:rsidTr="00E81817">
        <w:tc>
          <w:tcPr>
            <w:tcW w:w="2093" w:type="dxa"/>
          </w:tcPr>
          <w:p w14:paraId="2B7E5A22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sz w:val="24"/>
                <w:szCs w:val="24"/>
              </w:rPr>
              <w:t>Общие расстройства и состояния в месте введения</w:t>
            </w:r>
          </w:p>
        </w:tc>
        <w:tc>
          <w:tcPr>
            <w:tcW w:w="1621" w:type="dxa"/>
          </w:tcPr>
          <w:p w14:paraId="295494FB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Реакции в месте инъекции/инфузии</w:t>
            </w:r>
            <w:r w:rsidRPr="006951B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781" w:type="dxa"/>
          </w:tcPr>
          <w:p w14:paraId="2CE437BA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Озноб, астения, утомляемость, периферические отеки, боль</w:t>
            </w:r>
          </w:p>
        </w:tc>
        <w:tc>
          <w:tcPr>
            <w:tcW w:w="1559" w:type="dxa"/>
          </w:tcPr>
          <w:p w14:paraId="4A3AAC8B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Боль в груди, гипергидроз, гипертермия</w:t>
            </w:r>
          </w:p>
        </w:tc>
        <w:tc>
          <w:tcPr>
            <w:tcW w:w="2083" w:type="dxa"/>
          </w:tcPr>
          <w:p w14:paraId="47FA1F65" w14:textId="77777777" w:rsidR="00E32AF0" w:rsidRPr="006951B7" w:rsidRDefault="00E32AF0" w:rsidP="00E81817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Холодный пот, недомогание, бледность, </w:t>
            </w:r>
            <w:bookmarkStart w:id="11" w:name="_Hlk164151090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гриппоподобный синдром</w:t>
            </w:r>
            <w:r w:rsidR="007B202A"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который может появиться через </w:t>
            </w:r>
            <w:r w:rsidR="007B202A" w:rsidRPr="006951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несколько часов или дней после инъекции</w:t>
            </w:r>
            <w:r w:rsidRPr="006951B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bookmarkEnd w:id="11"/>
          </w:p>
        </w:tc>
      </w:tr>
      <w:tr w:rsidR="00E32AF0" w:rsidRPr="006951B7" w14:paraId="169591B1" w14:textId="77777777" w:rsidTr="00E81817">
        <w:tc>
          <w:tcPr>
            <w:tcW w:w="2093" w:type="dxa"/>
          </w:tcPr>
          <w:p w14:paraId="6A82E45C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Расстройства со стороны </w:t>
            </w:r>
            <w:proofErr w:type="spellStart"/>
            <w:r w:rsidRPr="006951B7">
              <w:rPr>
                <w:rFonts w:ascii="Times New Roman" w:hAnsi="Times New Roman"/>
                <w:sz w:val="24"/>
                <w:szCs w:val="24"/>
              </w:rPr>
              <w:t>лабораторныех</w:t>
            </w:r>
            <w:proofErr w:type="spellEnd"/>
            <w:r w:rsidRPr="00695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51B7">
              <w:rPr>
                <w:rFonts w:ascii="Times New Roman" w:hAnsi="Times New Roman"/>
                <w:sz w:val="24"/>
                <w:szCs w:val="24"/>
              </w:rPr>
              <w:t>порказателей</w:t>
            </w:r>
            <w:proofErr w:type="spellEnd"/>
          </w:p>
        </w:tc>
        <w:tc>
          <w:tcPr>
            <w:tcW w:w="1621" w:type="dxa"/>
          </w:tcPr>
          <w:p w14:paraId="3A7F81AD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</w:tcPr>
          <w:p w14:paraId="489EA509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уровня аланинаминотрансферазы, повышение уровня </w:t>
            </w:r>
            <w:proofErr w:type="spellStart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аспартатаминотрансферазы</w:t>
            </w:r>
            <w:proofErr w:type="spellEnd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, повышение уровня гамма-</w:t>
            </w:r>
            <w:proofErr w:type="spellStart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глутамилтрансферазы</w:t>
            </w:r>
            <w:proofErr w:type="spellEnd"/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, повышение уровня ферритина в сыворотке</w:t>
            </w:r>
          </w:p>
        </w:tc>
        <w:tc>
          <w:tcPr>
            <w:tcW w:w="1559" w:type="dxa"/>
          </w:tcPr>
          <w:p w14:paraId="092E2649" w14:textId="77777777" w:rsidR="00E32AF0" w:rsidRPr="006951B7" w:rsidRDefault="00E32AF0" w:rsidP="00E81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лактатдегидрогеназы крови</w:t>
            </w:r>
            <w:r w:rsidR="007B202A" w:rsidRPr="006951B7">
              <w:rPr>
                <w:rFonts w:ascii="Times New Roman" w:hAnsi="Times New Roman"/>
                <w:color w:val="000000"/>
                <w:sz w:val="24"/>
                <w:szCs w:val="24"/>
              </w:rPr>
              <w:t>, гипофосфатемия</w:t>
            </w:r>
            <w:r w:rsidR="007B202A" w:rsidRPr="006951B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83" w:type="dxa"/>
          </w:tcPr>
          <w:p w14:paraId="4A7F7418" w14:textId="77777777" w:rsidR="00E32AF0" w:rsidRPr="006951B7" w:rsidRDefault="00E32AF0" w:rsidP="00E81817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302E608" w14:textId="77777777" w:rsidR="00E32AF0" w:rsidRPr="006951B7" w:rsidRDefault="00E32AF0" w:rsidP="00E32A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51B7">
        <w:rPr>
          <w:rFonts w:ascii="Times New Roman" w:hAnsi="Times New Roman"/>
          <w:sz w:val="20"/>
          <w:szCs w:val="20"/>
        </w:rPr>
        <w:t xml:space="preserve">пострегистрационные спонтанные сообщения </w:t>
      </w:r>
    </w:p>
    <w:p w14:paraId="213F7343" w14:textId="77777777" w:rsidR="00E32AF0" w:rsidRPr="006951B7" w:rsidRDefault="00E32AF0" w:rsidP="00E32A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51B7">
        <w:rPr>
          <w:rFonts w:ascii="Times New Roman" w:hAnsi="Times New Roman"/>
          <w:sz w:val="20"/>
          <w:szCs w:val="20"/>
        </w:rPr>
        <w:t xml:space="preserve">наиболее частые сообщения: боль, утечка препарата в </w:t>
      </w:r>
      <w:proofErr w:type="spellStart"/>
      <w:r w:rsidRPr="006951B7">
        <w:rPr>
          <w:rFonts w:ascii="Times New Roman" w:hAnsi="Times New Roman"/>
          <w:sz w:val="20"/>
          <w:szCs w:val="20"/>
        </w:rPr>
        <w:t>околовенозное</w:t>
      </w:r>
      <w:proofErr w:type="spellEnd"/>
      <w:r w:rsidRPr="006951B7">
        <w:rPr>
          <w:rFonts w:ascii="Times New Roman" w:hAnsi="Times New Roman"/>
          <w:sz w:val="20"/>
          <w:szCs w:val="20"/>
        </w:rPr>
        <w:t xml:space="preserve"> пространство, раздражение, изменение цвета, гематома, зуд, реакции в месте инъекции/инфузии </w:t>
      </w:r>
    </w:p>
    <w:p w14:paraId="1A358738" w14:textId="77777777" w:rsidR="00E32AF0" w:rsidRPr="006951B7" w:rsidRDefault="00E32AF0" w:rsidP="00E32A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2" w:name="_Hlk164151103"/>
      <w:r w:rsidRPr="006951B7">
        <w:rPr>
          <w:rFonts w:ascii="Times New Roman" w:hAnsi="Times New Roman"/>
          <w:sz w:val="20"/>
          <w:szCs w:val="20"/>
        </w:rPr>
        <w:t>возникновение может варьировать в период от нескольких часов до нескольких дней</w:t>
      </w:r>
    </w:p>
    <w:p w14:paraId="12912A77" w14:textId="77777777" w:rsidR="00937F96" w:rsidRPr="006951B7" w:rsidRDefault="00937F96" w:rsidP="00E32A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51B7">
        <w:rPr>
          <w:rFonts w:ascii="Times New Roman" w:hAnsi="Times New Roman"/>
          <w:sz w:val="20"/>
          <w:szCs w:val="20"/>
        </w:rPr>
        <w:t>умеренное снижение уровня фосфатов</w:t>
      </w:r>
    </w:p>
    <w:bookmarkEnd w:id="12"/>
    <w:p w14:paraId="6616D6C5" w14:textId="77777777" w:rsidR="00E32AF0" w:rsidRPr="006951B7" w:rsidRDefault="00E32AF0" w:rsidP="00E32AF0">
      <w:p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3A1E9B" w14:textId="77777777" w:rsidR="00814DFC" w:rsidRPr="006951B7" w:rsidRDefault="00814DFC" w:rsidP="00AE31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51B7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71B4EE62" w14:textId="77777777" w:rsidR="004528E1" w:rsidRPr="006951B7" w:rsidRDefault="00814DFC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6951B7">
        <w:rPr>
          <w:rFonts w:ascii="Times New Roman" w:hAnsi="Times New Roman"/>
          <w:sz w:val="24"/>
          <w:szCs w:val="24"/>
        </w:rPr>
        <w:t>ЛП</w:t>
      </w:r>
      <w:r w:rsidRPr="006951B7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«польза–риск» </w:t>
      </w:r>
      <w:r w:rsidR="00125232" w:rsidRPr="006951B7">
        <w:rPr>
          <w:rFonts w:ascii="Times New Roman" w:hAnsi="Times New Roman"/>
          <w:sz w:val="24"/>
          <w:szCs w:val="24"/>
        </w:rPr>
        <w:t>ЛП</w:t>
      </w:r>
      <w:r w:rsidRPr="006951B7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6951B7">
        <w:rPr>
          <w:rFonts w:ascii="Times New Roman" w:hAnsi="Times New Roman"/>
          <w:sz w:val="24"/>
          <w:szCs w:val="24"/>
        </w:rPr>
        <w:t>ЛП</w:t>
      </w:r>
      <w:r w:rsidRPr="006951B7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</w:t>
      </w:r>
      <w:r w:rsidR="00D036C7" w:rsidRPr="006951B7">
        <w:rPr>
          <w:rFonts w:ascii="Times New Roman" w:hAnsi="Times New Roman"/>
          <w:sz w:val="24"/>
          <w:szCs w:val="24"/>
        </w:rPr>
        <w:t>.</w:t>
      </w:r>
    </w:p>
    <w:p w14:paraId="452A09C8" w14:textId="77777777" w:rsidR="008F742A" w:rsidRPr="006951B7" w:rsidRDefault="008F742A" w:rsidP="002E4B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РГП на ПХВ «Национальный Центр экспертизы лекарственных средств и медицинских изделий» </w:t>
      </w:r>
      <w:r w:rsidR="002E4BFD" w:rsidRPr="006951B7">
        <w:rPr>
          <w:rFonts w:ascii="Times New Roman" w:hAnsi="Times New Roman"/>
          <w:sz w:val="24"/>
          <w:szCs w:val="24"/>
        </w:rPr>
        <w:t>Комитета медицинского и фармацевтического контроля Министерства здравоохранения Республики Казахстан</w:t>
      </w:r>
    </w:p>
    <w:p w14:paraId="78C611F3" w14:textId="77777777" w:rsidR="004125D8" w:rsidRPr="006951B7" w:rsidRDefault="00FC63A6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6951B7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6951B7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6951B7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6951B7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6951B7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6951B7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6951B7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61AB7E60" w14:textId="77777777" w:rsidR="00F40BDD" w:rsidRPr="006951B7" w:rsidRDefault="00F40BDD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1C26AF" w14:textId="77777777" w:rsidR="00123DB5" w:rsidRPr="006951B7" w:rsidRDefault="00123DB5" w:rsidP="00AE3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5204BA13" w14:textId="77777777" w:rsidR="00A75B8F" w:rsidRPr="006951B7" w:rsidRDefault="00A75B8F" w:rsidP="00AE3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51B7">
        <w:rPr>
          <w:rFonts w:ascii="Times New Roman" w:hAnsi="Times New Roman"/>
          <w:i/>
          <w:iCs/>
          <w:color w:val="000000"/>
          <w:sz w:val="24"/>
          <w:szCs w:val="24"/>
        </w:rPr>
        <w:t>Симптомы:</w:t>
      </w:r>
      <w:r w:rsidRPr="006951B7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ED36F7" w:rsidRPr="006951B7">
        <w:rPr>
          <w:rFonts w:ascii="Times New Roman" w:hAnsi="Times New Roman"/>
          <w:color w:val="000000"/>
          <w:sz w:val="24"/>
          <w:szCs w:val="24"/>
        </w:rPr>
        <w:t xml:space="preserve">ередозировка может вызвать перегрузку организма железом, которая может проявляться в виде гемосидероза. </w:t>
      </w:r>
    </w:p>
    <w:p w14:paraId="1A635514" w14:textId="77777777" w:rsidR="00ED36F7" w:rsidRPr="006951B7" w:rsidRDefault="00A75B8F" w:rsidP="00AE3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51B7">
        <w:rPr>
          <w:rFonts w:ascii="Times New Roman" w:hAnsi="Times New Roman"/>
          <w:i/>
          <w:iCs/>
          <w:color w:val="000000"/>
          <w:sz w:val="24"/>
          <w:szCs w:val="24"/>
        </w:rPr>
        <w:t>Лечение:</w:t>
      </w:r>
      <w:r w:rsidRPr="006951B7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ED36F7" w:rsidRPr="006951B7">
        <w:rPr>
          <w:rFonts w:ascii="Times New Roman" w:hAnsi="Times New Roman"/>
          <w:color w:val="000000"/>
          <w:sz w:val="24"/>
          <w:szCs w:val="24"/>
        </w:rPr>
        <w:t xml:space="preserve">ередозировку необходимо лечить по усмотрению лечащего врача, с использованием </w:t>
      </w:r>
      <w:proofErr w:type="spellStart"/>
      <w:r w:rsidR="00ED36F7" w:rsidRPr="006951B7">
        <w:rPr>
          <w:rFonts w:ascii="Times New Roman" w:hAnsi="Times New Roman"/>
          <w:color w:val="000000"/>
          <w:sz w:val="24"/>
          <w:szCs w:val="24"/>
        </w:rPr>
        <w:t>хелаторов</w:t>
      </w:r>
      <w:proofErr w:type="spellEnd"/>
      <w:r w:rsidR="00ED36F7" w:rsidRPr="006951B7">
        <w:rPr>
          <w:rFonts w:ascii="Times New Roman" w:hAnsi="Times New Roman"/>
          <w:color w:val="000000"/>
          <w:sz w:val="24"/>
          <w:szCs w:val="24"/>
        </w:rPr>
        <w:t xml:space="preserve"> железа или в соответствии со стандартной медицинской практикой.</w:t>
      </w:r>
    </w:p>
    <w:p w14:paraId="6FC3A280" w14:textId="77777777" w:rsidR="0097636D" w:rsidRPr="006951B7" w:rsidRDefault="0097636D" w:rsidP="00AE31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3DF838" w14:textId="77777777" w:rsidR="00C153F2" w:rsidRPr="006951B7" w:rsidRDefault="00C153F2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951B7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47684F97" w14:textId="77777777" w:rsidR="00C153F2" w:rsidRPr="006951B7" w:rsidRDefault="00C153F2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951B7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07C22621" w14:textId="77777777" w:rsidR="00E71CB3" w:rsidRPr="006951B7" w:rsidRDefault="00C153F2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NewRomanPSMT" w:hAnsi="Times New Roman"/>
          <w:sz w:val="24"/>
          <w:szCs w:val="24"/>
          <w:lang w:eastAsia="ru-RU"/>
        </w:rPr>
        <w:t>Фармакотерапевтическая группа:</w:t>
      </w:r>
      <w:r w:rsidR="00265F38" w:rsidRPr="006951B7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</w:t>
      </w:r>
      <w:r w:rsidR="00E71CB3" w:rsidRPr="006951B7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Антианемические препараты. Препараты железа. Препараты железа парентеральные. </w:t>
      </w:r>
      <w:proofErr w:type="spellStart"/>
      <w:r w:rsidR="00E71CB3" w:rsidRPr="006951B7">
        <w:rPr>
          <w:rFonts w:ascii="Times New Roman" w:eastAsia="TimesNewRomanPSMT" w:hAnsi="Times New Roman"/>
          <w:bCs/>
          <w:sz w:val="24"/>
          <w:szCs w:val="24"/>
          <w:lang w:eastAsia="ru-RU"/>
        </w:rPr>
        <w:t>Сахарат</w:t>
      </w:r>
      <w:proofErr w:type="spellEnd"/>
      <w:r w:rsidR="00E71CB3" w:rsidRPr="006951B7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оксида железа. </w:t>
      </w:r>
    </w:p>
    <w:p w14:paraId="3E3D8466" w14:textId="77777777" w:rsidR="00E71CB3" w:rsidRPr="006951B7" w:rsidRDefault="00E71CB3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6951B7">
        <w:rPr>
          <w:rFonts w:ascii="Times New Roman" w:eastAsia="TimesNewRomanPSMT" w:hAnsi="Times New Roman"/>
          <w:bCs/>
          <w:sz w:val="24"/>
          <w:szCs w:val="24"/>
          <w:lang w:eastAsia="ru-RU"/>
        </w:rPr>
        <w:t>Код АТХ В03АС02</w:t>
      </w:r>
    </w:p>
    <w:p w14:paraId="590D10AC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51B7">
        <w:rPr>
          <w:rFonts w:ascii="Times New Roman" w:hAnsi="Times New Roman"/>
          <w:i/>
          <w:sz w:val="24"/>
          <w:szCs w:val="24"/>
          <w:lang w:eastAsia="ru-RU"/>
        </w:rPr>
        <w:t>Механизм действия</w:t>
      </w:r>
    </w:p>
    <w:p w14:paraId="65458B98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Сахароза железа, активный ингредиент </w:t>
      </w:r>
      <w:r w:rsidR="003D1A7F"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Ферро </w:t>
      </w:r>
      <w:proofErr w:type="spellStart"/>
      <w:r w:rsidR="003D1A7F" w:rsidRPr="006951B7">
        <w:rPr>
          <w:rFonts w:ascii="Times New Roman" w:hAnsi="Times New Roman"/>
          <w:iCs/>
          <w:sz w:val="24"/>
          <w:szCs w:val="24"/>
          <w:lang w:eastAsia="ru-RU"/>
        </w:rPr>
        <w:t>Витале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, состоит из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полиядерного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стержня гидроксида железа (III), окруженного большим количеством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нековалентно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связанных молекул сахарозы. Комплекс имеет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средневесовую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молекулярную массу (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Mw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) приблизительно 43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кДа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. Стержень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полиядерного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железа имеет структуру, аналогичную структуре стержня физиологического хранилища железа белка ферритина. Комплекс разработан для обеспечения контролируемым образом </w:t>
      </w:r>
      <w:r w:rsidRPr="006951B7">
        <w:rPr>
          <w:rFonts w:ascii="Times New Roman" w:hAnsi="Times New Roman"/>
          <w:iCs/>
          <w:sz w:val="24"/>
          <w:szCs w:val="24"/>
          <w:lang w:eastAsia="ru-RU"/>
        </w:rPr>
        <w:lastRenderedPageBreak/>
        <w:t>пригодного для использования железа транспортными и депонирующими белками железа в организме (т.е. трансферрином и ферритином, соответственно).</w:t>
      </w:r>
    </w:p>
    <w:p w14:paraId="380942C0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951B7">
        <w:rPr>
          <w:rFonts w:ascii="Times New Roman" w:hAnsi="Times New Roman"/>
          <w:iCs/>
          <w:sz w:val="24"/>
          <w:szCs w:val="24"/>
          <w:lang w:eastAsia="ru-RU"/>
        </w:rPr>
        <w:t>После внутривенного введения стержень ​​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полиядерного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железа из комплекса захватывается преимущественно ретикулоэндотелиальной системой в печени, селезенке и костном мозге. На втором этапе железо используется для синтеза гемоглобина, миоглобина и других железосодержащих ферментов или хранится в основном в печени в форме ферритина.</w:t>
      </w:r>
    </w:p>
    <w:p w14:paraId="5652953E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51B7">
        <w:rPr>
          <w:rFonts w:ascii="Times New Roman" w:hAnsi="Times New Roman"/>
          <w:i/>
          <w:sz w:val="24"/>
          <w:szCs w:val="24"/>
          <w:lang w:eastAsia="ru-RU"/>
        </w:rPr>
        <w:t>Клиническая эффективность и безопасность</w:t>
      </w:r>
    </w:p>
    <w:p w14:paraId="39344F07" w14:textId="77777777" w:rsidR="00AD5DA4" w:rsidRPr="006951B7" w:rsidRDefault="00AD5DA4" w:rsidP="00AD5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r w:rsidRPr="006951B7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Анемия у пациентов с хронической почечной недостаточностью, находящихся на диализе</w:t>
      </w:r>
    </w:p>
    <w:p w14:paraId="26C8A1C7" w14:textId="77777777" w:rsidR="00AD5DA4" w:rsidRPr="006951B7" w:rsidRDefault="00AD5DA4" w:rsidP="00AD5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Исследование VIT-IV-CL-015 представляет собой открытое рандомизированное исследование в параллельных группах у пациентов с железодефицитной анемией, находящихся на гемодиализе. Пациенты получали 200 мг железа в форме </w:t>
      </w:r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железа </w:t>
      </w:r>
      <w:proofErr w:type="spellStart"/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>мальтозата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или </w:t>
      </w:r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железа </w:t>
      </w:r>
      <w:proofErr w:type="spellStart"/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>сахарата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2–3 раза в неделю непосредственно в диализатор до достижения индивидуально рассчитанной кумулятивной дозы железа. Через четыре (4) недели после включения у 46,4% (45/97) пациентов в группе </w:t>
      </w:r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железа </w:t>
      </w:r>
      <w:proofErr w:type="spellStart"/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>мальтозата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по сравнению с 37,2% (32/86) пациентов в группе </w:t>
      </w:r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железа </w:t>
      </w:r>
      <w:proofErr w:type="spellStart"/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>сахарата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наблюдалось повышение уровня гемоглобина (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Hb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) ≥ 1,0 г/дл. (р = 0,2101). У пятидесяти одного пациента (42,9%) в группе </w:t>
      </w:r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железа </w:t>
      </w:r>
      <w:proofErr w:type="spellStart"/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>мальтозата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и у 47 пациентов (39,8%) в группе </w:t>
      </w:r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железа </w:t>
      </w:r>
      <w:proofErr w:type="spellStart"/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>сахарата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наблюдалось как минимум 1 нежелательное явление, возникшее во время лечения, но только у 5 пациентов (4,2%) в каждой группе были зарегистрированы серьезные </w:t>
      </w:r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>явления, возникшие во время лечения</w:t>
      </w:r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. У шести пациентов (5,0%) в группе </w:t>
      </w:r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железа </w:t>
      </w:r>
      <w:proofErr w:type="spellStart"/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>мальтозата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и у 12 пациентов (10,2%) в группе </w:t>
      </w:r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железа </w:t>
      </w:r>
      <w:proofErr w:type="spellStart"/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>сахарата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наблюдался по крайней мере 1 </w:t>
      </w:r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>нежелательное явление, возникшее во время лечения</w:t>
      </w:r>
      <w:r w:rsidRPr="006951B7">
        <w:rPr>
          <w:rFonts w:ascii="Times New Roman" w:hAnsi="Times New Roman"/>
          <w:iCs/>
          <w:sz w:val="24"/>
          <w:szCs w:val="24"/>
          <w:lang w:eastAsia="ru-RU"/>
        </w:rPr>
        <w:t>. В целом, различий в профиле безопасности между двумя группами лечения</w:t>
      </w:r>
      <w:r w:rsidR="00245C60"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не наблюдалось</w:t>
      </w:r>
      <w:r w:rsidRPr="006951B7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79F307C9" w14:textId="77777777" w:rsidR="00245C60" w:rsidRPr="006951B7" w:rsidRDefault="00245C60" w:rsidP="00245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proofErr w:type="spellStart"/>
      <w:r w:rsidRPr="006951B7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Гипосидеремическая</w:t>
      </w:r>
      <w:proofErr w:type="spellEnd"/>
      <w:r w:rsidRPr="006951B7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 анемия, вызванная дефицитом железа, связанная с тяжелыми хроническими воспалительными заболеваниями кишечника</w:t>
      </w:r>
    </w:p>
    <w:p w14:paraId="7B7EA892" w14:textId="77777777" w:rsidR="00AD5DA4" w:rsidRPr="006951B7" w:rsidRDefault="00245C60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Исследование FER-IBD-07-COR представляет собой рандомизированное открытое исследование, </w:t>
      </w:r>
      <w:r w:rsidR="00802728"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которое проводилось </w:t>
      </w:r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у пациентов с хроническими воспалительными заболеваниями кишечника в стадии ремиссии или легкой степени. По данным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Ganzoni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, пациенты получали железа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мальтозат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в виде однократных доз до 1000 мг железа по упрощенной схеме дозирования с использованием исходного уровня гемоглобина и массы тела или железа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сахарат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в виде 200 мг железа до тех пор, пока не будет достигнута кумулятивная доза железа. У 65,8% пациентов, получавших железа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мальтозат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(n=240), по сравнению с 53,6% пациентов, получавших железа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сахарат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(n=245), наблюдалось повышение уровня гемоглобина ≥ 2 г/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дл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через 12 недель (наблюдение) (p = 0,008). У 83,8% пациентов, принимавших железа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мальтозат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, по сравнению с 75,9% пациентов, принимавших железа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сахарат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>, достигнуто повышение уровня гемоглобина ≥ 2 г/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дл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или уровня гемоглобина в пределах нормы на 12 неделе (р = 0,019). Процент пациентов, у которых возникли нежелательные явления, возникшие во время лечения, связанные с лечением, был одинаковым в группе железа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мальтозата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(13,9%) и в группе железа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сахарата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(11,3%). У одного пациента (0,4%) в группе железа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мальтозата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и ни у одного пациента в группе железа </w:t>
      </w:r>
      <w:proofErr w:type="spellStart"/>
      <w:r w:rsidRPr="006951B7">
        <w:rPr>
          <w:rFonts w:ascii="Times New Roman" w:hAnsi="Times New Roman"/>
          <w:iCs/>
          <w:sz w:val="24"/>
          <w:szCs w:val="24"/>
          <w:lang w:eastAsia="ru-RU"/>
        </w:rPr>
        <w:t>сахарата</w:t>
      </w:r>
      <w:proofErr w:type="spellEnd"/>
      <w:r w:rsidRPr="006951B7">
        <w:rPr>
          <w:rFonts w:ascii="Times New Roman" w:hAnsi="Times New Roman"/>
          <w:iCs/>
          <w:sz w:val="24"/>
          <w:szCs w:val="24"/>
          <w:lang w:eastAsia="ru-RU"/>
        </w:rPr>
        <w:t xml:space="preserve"> не наблюдалось серьезного или тяжелого явления, связанного с исследуемым лечением.</w:t>
      </w:r>
    </w:p>
    <w:p w14:paraId="4515E14D" w14:textId="77777777" w:rsidR="00AD5DA4" w:rsidRPr="006951B7" w:rsidRDefault="00AD5DA4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</w:p>
    <w:p w14:paraId="73710EFA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951B7">
        <w:rPr>
          <w:rFonts w:ascii="Times New Roman" w:hAnsi="Times New Roman"/>
          <w:b/>
          <w:iCs/>
          <w:sz w:val="24"/>
          <w:szCs w:val="24"/>
          <w:lang w:eastAsia="ru-RU"/>
        </w:rPr>
        <w:t>5.2</w:t>
      </w:r>
      <w:r w:rsidRPr="006951B7">
        <w:rPr>
          <w:rFonts w:ascii="Times New Roman" w:hAnsi="Times New Roman"/>
          <w:b/>
          <w:iCs/>
          <w:sz w:val="24"/>
          <w:szCs w:val="24"/>
          <w:lang w:eastAsia="ru-RU"/>
        </w:rPr>
        <w:tab/>
      </w:r>
      <w:bookmarkStart w:id="13" w:name="_Ref132598927"/>
      <w:r w:rsidRPr="006951B7">
        <w:rPr>
          <w:rFonts w:ascii="Times New Roman" w:hAnsi="Times New Roman"/>
          <w:b/>
          <w:iCs/>
          <w:sz w:val="24"/>
          <w:szCs w:val="24"/>
          <w:lang w:eastAsia="ru-RU"/>
        </w:rPr>
        <w:t>Фармакокинетические свойства</w:t>
      </w:r>
      <w:bookmarkEnd w:id="13"/>
    </w:p>
    <w:p w14:paraId="53587C03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6951B7">
        <w:rPr>
          <w:rFonts w:ascii="Times New Roman" w:hAnsi="Times New Roman"/>
          <w:i/>
          <w:iCs/>
          <w:sz w:val="24"/>
          <w:szCs w:val="24"/>
          <w:lang w:bidi="ru-RU"/>
        </w:rPr>
        <w:t>Распределение</w:t>
      </w:r>
    </w:p>
    <w:p w14:paraId="049A6E36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951B7">
        <w:rPr>
          <w:rFonts w:ascii="Times New Roman" w:hAnsi="Times New Roman"/>
          <w:sz w:val="24"/>
          <w:szCs w:val="24"/>
          <w:lang w:bidi="ru-RU"/>
        </w:rPr>
        <w:t xml:space="preserve">Железо-сахарозный комплекс, меченный </w:t>
      </w:r>
      <w:r w:rsidRPr="006951B7">
        <w:rPr>
          <w:rFonts w:ascii="Times New Roman" w:hAnsi="Times New Roman"/>
          <w:sz w:val="24"/>
          <w:szCs w:val="24"/>
          <w:vertAlign w:val="superscript"/>
          <w:lang w:bidi="ru-RU"/>
        </w:rPr>
        <w:t>52</w:t>
      </w:r>
      <w:r w:rsidRPr="006951B7">
        <w:rPr>
          <w:rFonts w:ascii="Times New Roman" w:hAnsi="Times New Roman"/>
          <w:sz w:val="24"/>
          <w:szCs w:val="24"/>
          <w:lang w:val="en-GB" w:bidi="ru-RU"/>
        </w:rPr>
        <w:t>Fe</w:t>
      </w:r>
      <w:r w:rsidRPr="006951B7">
        <w:rPr>
          <w:rFonts w:ascii="Times New Roman" w:hAnsi="Times New Roman"/>
          <w:sz w:val="24"/>
          <w:szCs w:val="24"/>
          <w:lang w:bidi="ru-RU"/>
        </w:rPr>
        <w:t xml:space="preserve"> и </w:t>
      </w:r>
      <w:r w:rsidRPr="006951B7">
        <w:rPr>
          <w:rFonts w:ascii="Times New Roman" w:hAnsi="Times New Roman"/>
          <w:sz w:val="24"/>
          <w:szCs w:val="24"/>
          <w:vertAlign w:val="superscript"/>
          <w:lang w:bidi="ru-RU"/>
        </w:rPr>
        <w:t>59</w:t>
      </w:r>
      <w:r w:rsidRPr="006951B7">
        <w:rPr>
          <w:rFonts w:ascii="Times New Roman" w:hAnsi="Times New Roman"/>
          <w:sz w:val="24"/>
          <w:szCs w:val="24"/>
          <w:lang w:val="en-GB" w:bidi="ru-RU"/>
        </w:rPr>
        <w:t>Fe</w:t>
      </w:r>
      <w:r w:rsidRPr="006951B7">
        <w:rPr>
          <w:rFonts w:ascii="Times New Roman" w:hAnsi="Times New Roman"/>
          <w:sz w:val="24"/>
          <w:szCs w:val="24"/>
          <w:lang w:bidi="ru-RU"/>
        </w:rPr>
        <w:t xml:space="preserve">, захватывается печенью, селезенкой и костным мозгом в течение первых 6–8 часов. Считается, что захват </w:t>
      </w:r>
      <w:r w:rsidRPr="006951B7">
        <w:rPr>
          <w:rFonts w:ascii="Times New Roman" w:hAnsi="Times New Roman"/>
          <w:sz w:val="24"/>
          <w:szCs w:val="24"/>
          <w:lang w:bidi="ru-RU"/>
        </w:rPr>
        <w:lastRenderedPageBreak/>
        <w:t>радиоактивной метки богатой макрофагами селезенкой является характерным для захвата железа ретикулоэндотелиальной системой.</w:t>
      </w:r>
    </w:p>
    <w:p w14:paraId="3382CF68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951B7">
        <w:rPr>
          <w:rFonts w:ascii="Times New Roman" w:hAnsi="Times New Roman"/>
          <w:sz w:val="24"/>
          <w:szCs w:val="24"/>
          <w:lang w:bidi="ru-RU"/>
        </w:rPr>
        <w:t xml:space="preserve">После внутривенной инъекции однократной дозы железа 100 мг в форме сахарозы железа здоровым добровольцам максимальные общие концентрации железа в сыворотке крови были достигнуты через 10 минут после инъекции и имели среднюю концентрацию 538 </w:t>
      </w:r>
      <w:proofErr w:type="spellStart"/>
      <w:r w:rsidRPr="006951B7">
        <w:rPr>
          <w:rFonts w:ascii="Times New Roman" w:hAnsi="Times New Roman"/>
          <w:sz w:val="24"/>
          <w:szCs w:val="24"/>
          <w:lang w:bidi="ru-RU"/>
        </w:rPr>
        <w:t>мкмоль</w:t>
      </w:r>
      <w:proofErr w:type="spellEnd"/>
      <w:r w:rsidRPr="006951B7">
        <w:rPr>
          <w:rFonts w:ascii="Times New Roman" w:hAnsi="Times New Roman"/>
          <w:sz w:val="24"/>
          <w:szCs w:val="24"/>
          <w:lang w:bidi="ru-RU"/>
        </w:rPr>
        <w:t>/л. Объем распределения центрального кровообращения хорошо соответствовал объему плазмы (примерно 3 литра).</w:t>
      </w:r>
    </w:p>
    <w:p w14:paraId="3C5B8EB1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proofErr w:type="spellStart"/>
      <w:r w:rsidRPr="006951B7">
        <w:rPr>
          <w:rFonts w:ascii="Times New Roman" w:hAnsi="Times New Roman"/>
          <w:i/>
          <w:iCs/>
          <w:sz w:val="24"/>
          <w:szCs w:val="24"/>
          <w:lang w:bidi="ru-RU"/>
        </w:rPr>
        <w:t>Биотрансформация</w:t>
      </w:r>
      <w:proofErr w:type="spellEnd"/>
    </w:p>
    <w:p w14:paraId="1F7DE1D6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951B7">
        <w:rPr>
          <w:rFonts w:ascii="Times New Roman" w:hAnsi="Times New Roman"/>
          <w:sz w:val="24"/>
          <w:szCs w:val="24"/>
          <w:lang w:bidi="ru-RU"/>
        </w:rPr>
        <w:t xml:space="preserve">После введения препарата большая часть сахарозы диссоциирует, и многоядерный железосодержащий стержень захватывается, главным образом, ретикулоэндотелиальной системой печени, селезенки и костного мозга. Через 4 недели после введения утилизация эритроцитами составляла от 59 до 97%. </w:t>
      </w:r>
    </w:p>
    <w:p w14:paraId="3B4D97CC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6951B7">
        <w:rPr>
          <w:rFonts w:ascii="Times New Roman" w:hAnsi="Times New Roman"/>
          <w:i/>
          <w:iCs/>
          <w:sz w:val="24"/>
          <w:szCs w:val="24"/>
          <w:lang w:bidi="ru-RU"/>
        </w:rPr>
        <w:t>Элиминация</w:t>
      </w:r>
    </w:p>
    <w:p w14:paraId="2AC54AC5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951B7">
        <w:rPr>
          <w:rFonts w:ascii="Times New Roman" w:hAnsi="Times New Roman"/>
          <w:sz w:val="24"/>
          <w:szCs w:val="24"/>
          <w:lang w:bidi="ru-RU"/>
        </w:rPr>
        <w:t xml:space="preserve">Средняя молекулярная масса (ММ) железо-сахарозного комплекса примерно равна 43 </w:t>
      </w:r>
      <w:proofErr w:type="spellStart"/>
      <w:r w:rsidRPr="006951B7">
        <w:rPr>
          <w:rFonts w:ascii="Times New Roman" w:hAnsi="Times New Roman"/>
          <w:sz w:val="24"/>
          <w:szCs w:val="24"/>
          <w:lang w:bidi="ru-RU"/>
        </w:rPr>
        <w:t>кДа</w:t>
      </w:r>
      <w:proofErr w:type="spellEnd"/>
      <w:r w:rsidRPr="006951B7">
        <w:rPr>
          <w:rFonts w:ascii="Times New Roman" w:hAnsi="Times New Roman"/>
          <w:sz w:val="24"/>
          <w:szCs w:val="24"/>
          <w:lang w:bidi="ru-RU"/>
        </w:rPr>
        <w:t xml:space="preserve">, достаточно высока для предотвращения выведения почками. Выведение железа почками, происходящее в течение первых 4 часов после инъекции дозы </w:t>
      </w:r>
      <w:r w:rsidR="00E403FE" w:rsidRPr="006951B7">
        <w:rPr>
          <w:rFonts w:ascii="Times New Roman" w:hAnsi="Times New Roman"/>
          <w:iCs/>
          <w:sz w:val="24"/>
          <w:szCs w:val="24"/>
          <w:lang w:eastAsia="ru-RU"/>
        </w:rPr>
        <w:t>железа (</w:t>
      </w:r>
      <w:r w:rsidR="00E403FE" w:rsidRPr="006951B7">
        <w:rPr>
          <w:rFonts w:ascii="Times New Roman" w:hAnsi="Times New Roman"/>
          <w:iCs/>
          <w:sz w:val="24"/>
          <w:szCs w:val="24"/>
          <w:lang w:val="en-US" w:eastAsia="ru-RU"/>
        </w:rPr>
        <w:t>III</w:t>
      </w:r>
      <w:r w:rsidR="00E403FE" w:rsidRPr="006951B7">
        <w:rPr>
          <w:rFonts w:ascii="Times New Roman" w:hAnsi="Times New Roman"/>
          <w:iCs/>
          <w:sz w:val="24"/>
          <w:szCs w:val="24"/>
          <w:lang w:eastAsia="ru-RU"/>
        </w:rPr>
        <w:t>) гидроксида сахарозного комплекса</w:t>
      </w:r>
      <w:r w:rsidRPr="006951B7">
        <w:rPr>
          <w:rFonts w:ascii="Times New Roman" w:hAnsi="Times New Roman"/>
          <w:sz w:val="24"/>
          <w:szCs w:val="24"/>
          <w:lang w:bidi="ru-RU"/>
        </w:rPr>
        <w:t>, содержащей 100 мг железа, соответствовало менее чем 5% от введенной дозы. Через 24 часа общая концентрация железа в сыворотке снижалась до уровня, предшествующего введению препарата. Выведение сахарозы почками составляет примерно 75% от введенной дозы.</w:t>
      </w:r>
    </w:p>
    <w:p w14:paraId="6DD2435A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366EC117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951B7">
        <w:rPr>
          <w:rFonts w:ascii="Times New Roman" w:hAnsi="Times New Roman"/>
          <w:b/>
          <w:iCs/>
          <w:sz w:val="24"/>
          <w:szCs w:val="24"/>
          <w:lang w:eastAsia="ru-RU"/>
        </w:rPr>
        <w:t>5.3</w:t>
      </w:r>
      <w:r w:rsidRPr="006951B7">
        <w:rPr>
          <w:rFonts w:ascii="Times New Roman" w:hAnsi="Times New Roman"/>
          <w:b/>
          <w:iCs/>
          <w:sz w:val="24"/>
          <w:szCs w:val="24"/>
          <w:lang w:eastAsia="ru-RU"/>
        </w:rPr>
        <w:tab/>
        <w:t>Данные доклинической безопасности</w:t>
      </w:r>
    </w:p>
    <w:p w14:paraId="51F270B0" w14:textId="77777777" w:rsidR="000D7E39" w:rsidRPr="006951B7" w:rsidRDefault="000D7E39" w:rsidP="000D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Доклинические данные, основанные на традиционных исследованиях токсичности многократных доз, </w:t>
      </w:r>
      <w:proofErr w:type="spellStart"/>
      <w:r w:rsidRPr="006951B7">
        <w:rPr>
          <w:rFonts w:ascii="Times New Roman" w:hAnsi="Times New Roman"/>
          <w:sz w:val="24"/>
          <w:szCs w:val="24"/>
        </w:rPr>
        <w:t>генотоксичности</w:t>
      </w:r>
      <w:proofErr w:type="spellEnd"/>
      <w:r w:rsidRPr="006951B7">
        <w:rPr>
          <w:rFonts w:ascii="Times New Roman" w:hAnsi="Times New Roman"/>
          <w:sz w:val="24"/>
          <w:szCs w:val="24"/>
        </w:rPr>
        <w:t xml:space="preserve"> и токсичности для размножения и развития, не показали особой опасности для человека.</w:t>
      </w:r>
    </w:p>
    <w:p w14:paraId="5CD9E7E7" w14:textId="77777777" w:rsidR="0018016B" w:rsidRPr="006951B7" w:rsidRDefault="0018016B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EA26C33" w14:textId="77777777" w:rsidR="00DF3381" w:rsidRPr="006951B7" w:rsidRDefault="00DF3381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951B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281DADDB" w14:textId="77777777" w:rsidR="005921EA" w:rsidRPr="006951B7" w:rsidRDefault="00DF3381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951B7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15A36F6C" w14:textId="77777777" w:rsidR="0018016B" w:rsidRPr="006951B7" w:rsidRDefault="00995471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pacing w:val="-2"/>
          <w:sz w:val="24"/>
          <w:szCs w:val="24"/>
        </w:rPr>
      </w:pPr>
      <w:r w:rsidRPr="006951B7">
        <w:rPr>
          <w:rFonts w:ascii="Times New Roman" w:hAnsi="Times New Roman"/>
          <w:iCs/>
          <w:spacing w:val="-2"/>
          <w:sz w:val="24"/>
          <w:szCs w:val="24"/>
        </w:rPr>
        <w:t>Н</w:t>
      </w:r>
      <w:r w:rsidR="0018016B" w:rsidRPr="006951B7">
        <w:rPr>
          <w:rFonts w:ascii="Times New Roman" w:hAnsi="Times New Roman"/>
          <w:iCs/>
          <w:spacing w:val="-2"/>
          <w:sz w:val="24"/>
          <w:szCs w:val="24"/>
        </w:rPr>
        <w:t>атрия гидроксид</w:t>
      </w:r>
    </w:p>
    <w:p w14:paraId="39F632F0" w14:textId="77777777" w:rsidR="00EA3BD2" w:rsidRPr="006951B7" w:rsidRDefault="00995471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pacing w:val="-2"/>
          <w:sz w:val="24"/>
          <w:szCs w:val="24"/>
        </w:rPr>
      </w:pPr>
      <w:r w:rsidRPr="006951B7">
        <w:rPr>
          <w:rFonts w:ascii="Times New Roman" w:hAnsi="Times New Roman"/>
          <w:iCs/>
          <w:spacing w:val="-2"/>
          <w:sz w:val="24"/>
          <w:szCs w:val="24"/>
        </w:rPr>
        <w:t>В</w:t>
      </w:r>
      <w:r w:rsidR="0018016B" w:rsidRPr="006951B7">
        <w:rPr>
          <w:rFonts w:ascii="Times New Roman" w:hAnsi="Times New Roman"/>
          <w:iCs/>
          <w:spacing w:val="-2"/>
          <w:sz w:val="24"/>
          <w:szCs w:val="24"/>
        </w:rPr>
        <w:t>ода для инъекций</w:t>
      </w:r>
    </w:p>
    <w:p w14:paraId="350CFD93" w14:textId="77777777" w:rsidR="00386226" w:rsidRPr="006951B7" w:rsidRDefault="00386226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pacing w:val="-2"/>
          <w:sz w:val="24"/>
          <w:szCs w:val="24"/>
        </w:rPr>
      </w:pPr>
    </w:p>
    <w:p w14:paraId="4E68C8D1" w14:textId="77777777" w:rsidR="00DF3381" w:rsidRPr="006951B7" w:rsidRDefault="00DF3381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951B7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24ECE0A8" w14:textId="77777777" w:rsidR="00805A89" w:rsidRPr="006951B7" w:rsidRDefault="00805A89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951B7">
        <w:rPr>
          <w:rFonts w:ascii="Times New Roman" w:eastAsia="TimesNewRomanPSMT" w:hAnsi="Times New Roman"/>
          <w:sz w:val="24"/>
          <w:szCs w:val="24"/>
          <w:lang w:eastAsia="ru-RU"/>
        </w:rPr>
        <w:t>Это лекарственное средство нельзя смешивать с другими лекарственными средствами, кроме</w:t>
      </w:r>
      <w:r w:rsidR="005446CA" w:rsidRPr="006951B7">
        <w:rPr>
          <w:rFonts w:ascii="Times New Roman" w:eastAsia="TimesNewRomanPSMT" w:hAnsi="Times New Roman"/>
          <w:sz w:val="24"/>
          <w:szCs w:val="24"/>
          <w:lang w:eastAsia="ru-RU"/>
        </w:rPr>
        <w:t xml:space="preserve"> стерильного раствора натрия хлорида 0.9% (</w:t>
      </w:r>
      <w:proofErr w:type="gramStart"/>
      <w:r w:rsidR="005446CA" w:rsidRPr="006951B7">
        <w:rPr>
          <w:rFonts w:ascii="Times New Roman" w:eastAsia="TimesNewRomanPSMT" w:hAnsi="Times New Roman"/>
          <w:sz w:val="24"/>
          <w:szCs w:val="24"/>
          <w:lang w:eastAsia="ru-RU"/>
        </w:rPr>
        <w:t>м/об</w:t>
      </w:r>
      <w:proofErr w:type="gramEnd"/>
      <w:r w:rsidR="005446CA" w:rsidRPr="006951B7">
        <w:rPr>
          <w:rFonts w:ascii="Times New Roman" w:eastAsia="TimesNewRomanPSMT" w:hAnsi="Times New Roman"/>
          <w:sz w:val="24"/>
          <w:szCs w:val="24"/>
          <w:lang w:eastAsia="ru-RU"/>
        </w:rPr>
        <w:t>.), используемого для разбавления.</w:t>
      </w:r>
      <w:r w:rsidRPr="006951B7">
        <w:rPr>
          <w:rFonts w:ascii="Times New Roman" w:eastAsia="TimesNewRomanPSMT" w:hAnsi="Times New Roman"/>
          <w:sz w:val="24"/>
          <w:szCs w:val="24"/>
          <w:lang w:eastAsia="ru-RU"/>
        </w:rPr>
        <w:t xml:space="preserve"> Если смешивать препарат с другими растворами или лекарственными средствами, то существует потенциальная возможность образования осадка и/или появления лекарственных взаимодействий. Неизвестна возможность совместимости с контейнерами, отличными от изготовленных из стекла, полиэтилена и ПВХ (поливинилхлорида).</w:t>
      </w:r>
    </w:p>
    <w:p w14:paraId="2E7341A2" w14:textId="77777777" w:rsidR="00386226" w:rsidRPr="006951B7" w:rsidRDefault="00386226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16A9AAF6" w14:textId="77777777" w:rsidR="009128A3" w:rsidRPr="006951B7" w:rsidRDefault="009128A3" w:rsidP="00AE31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6951B7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6951B7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951B7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0610614F" w14:textId="77777777" w:rsidR="00CE03ED" w:rsidRPr="006951B7" w:rsidRDefault="00386226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951B7">
        <w:rPr>
          <w:rFonts w:ascii="Times New Roman" w:hAnsi="Times New Roman"/>
          <w:sz w:val="24"/>
          <w:szCs w:val="24"/>
          <w:lang w:bidi="ru-RU"/>
        </w:rPr>
        <w:t>3</w:t>
      </w:r>
      <w:r w:rsidR="00467197" w:rsidRPr="006951B7">
        <w:rPr>
          <w:rFonts w:ascii="Times New Roman" w:hAnsi="Times New Roman"/>
          <w:sz w:val="24"/>
          <w:szCs w:val="24"/>
          <w:lang w:bidi="ru-RU"/>
        </w:rPr>
        <w:t xml:space="preserve"> года</w:t>
      </w:r>
    </w:p>
    <w:p w14:paraId="3D71C12E" w14:textId="77777777" w:rsidR="00CE03ED" w:rsidRPr="006951B7" w:rsidRDefault="00CE03ED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951B7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500CE55D" w14:textId="77777777" w:rsidR="00386226" w:rsidRPr="006951B7" w:rsidRDefault="00386226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19C810F5" w14:textId="77777777" w:rsidR="00632571" w:rsidRPr="006951B7" w:rsidRDefault="00632571" w:rsidP="00AE31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6951B7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2B3F3742" w14:textId="77777777" w:rsidR="00EA3BD2" w:rsidRPr="006951B7" w:rsidRDefault="00265F38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>Хранить</w:t>
      </w:r>
      <w:r w:rsidR="009F5B20" w:rsidRPr="006951B7">
        <w:rPr>
          <w:rFonts w:ascii="Times New Roman" w:hAnsi="Times New Roman"/>
          <w:sz w:val="24"/>
          <w:szCs w:val="24"/>
        </w:rPr>
        <w:t xml:space="preserve"> в защищенном от света месте,</w:t>
      </w:r>
      <w:r w:rsidRPr="006951B7">
        <w:rPr>
          <w:rFonts w:ascii="Times New Roman" w:hAnsi="Times New Roman"/>
          <w:sz w:val="24"/>
          <w:szCs w:val="24"/>
        </w:rPr>
        <w:t xml:space="preserve"> при температуре не выше </w:t>
      </w:r>
      <w:r w:rsidR="00986E85" w:rsidRPr="006951B7">
        <w:rPr>
          <w:rFonts w:ascii="Times New Roman" w:hAnsi="Times New Roman"/>
          <w:sz w:val="24"/>
          <w:szCs w:val="24"/>
        </w:rPr>
        <w:t>30</w:t>
      </w:r>
      <w:r w:rsidRPr="00695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1F49" w:rsidRPr="006951B7">
        <w:rPr>
          <w:rFonts w:ascii="Times New Roman" w:hAnsi="Times New Roman"/>
          <w:sz w:val="24"/>
          <w:szCs w:val="24"/>
          <w:vertAlign w:val="superscript"/>
        </w:rPr>
        <w:t>о</w:t>
      </w:r>
      <w:r w:rsidR="00621F49" w:rsidRPr="006951B7">
        <w:rPr>
          <w:rFonts w:ascii="Times New Roman" w:hAnsi="Times New Roman"/>
          <w:sz w:val="24"/>
          <w:szCs w:val="24"/>
        </w:rPr>
        <w:t>С</w:t>
      </w:r>
      <w:proofErr w:type="spellEnd"/>
      <w:r w:rsidR="00EA3BD2" w:rsidRPr="006951B7">
        <w:rPr>
          <w:rFonts w:ascii="Times New Roman" w:hAnsi="Times New Roman"/>
          <w:sz w:val="24"/>
          <w:szCs w:val="24"/>
        </w:rPr>
        <w:t>.</w:t>
      </w:r>
    </w:p>
    <w:p w14:paraId="3337B7EB" w14:textId="77777777" w:rsidR="0018016B" w:rsidRPr="006951B7" w:rsidRDefault="00986E85" w:rsidP="00AE31A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>Не замораживать.</w:t>
      </w:r>
    </w:p>
    <w:p w14:paraId="7B977D25" w14:textId="77777777" w:rsidR="00632571" w:rsidRPr="006951B7" w:rsidRDefault="00632571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14" w:name="2175220289"/>
    </w:p>
    <w:p w14:paraId="7DA8FF48" w14:textId="77777777" w:rsidR="00386226" w:rsidRPr="006951B7" w:rsidRDefault="00386226" w:rsidP="00AE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4"/>
    <w:p w14:paraId="57565D53" w14:textId="77777777" w:rsidR="00B90A1E" w:rsidRPr="006951B7" w:rsidRDefault="00EC480E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951B7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6951B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0A1E"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Характер и содержание </w:t>
      </w:r>
      <w:r w:rsidR="00356237"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первичной </w:t>
      </w:r>
      <w:r w:rsidR="00B90A1E"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упаковки </w:t>
      </w:r>
    </w:p>
    <w:p w14:paraId="27470FD9" w14:textId="77777777" w:rsidR="0024225F" w:rsidRPr="006951B7" w:rsidRDefault="0024225F" w:rsidP="0024225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_Hlk72766577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 5 мл препарата помещают в бесцветную прозрачную ампулу из стекла типа </w:t>
      </w:r>
      <w:r w:rsidRPr="006951B7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ФСША. </w:t>
      </w:r>
    </w:p>
    <w:p w14:paraId="6C37B160" w14:textId="77777777" w:rsidR="0024225F" w:rsidRPr="006951B7" w:rsidRDefault="0024225F" w:rsidP="0024225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 xml:space="preserve">По 5 ампул помещают в лоток из ударопрочного </w:t>
      </w:r>
      <w:proofErr w:type="spellStart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полистерола</w:t>
      </w:r>
      <w:proofErr w:type="spellEnd"/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F9C9CE6" w14:textId="77777777" w:rsidR="0024225F" w:rsidRPr="006951B7" w:rsidRDefault="0024225F" w:rsidP="0024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sz w:val="24"/>
          <w:szCs w:val="24"/>
          <w:lang w:eastAsia="ru-RU"/>
        </w:rPr>
        <w:t>По 1 лотку вместе с инструкцией по медицинскому применению на казахском и русском языках вкладывают в пачку из картона.</w:t>
      </w:r>
      <w:bookmarkEnd w:id="15"/>
    </w:p>
    <w:p w14:paraId="263BE21F" w14:textId="77777777" w:rsidR="00386226" w:rsidRPr="006951B7" w:rsidRDefault="00386226" w:rsidP="0024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5E8C70" w14:textId="77777777" w:rsidR="00B90A1E" w:rsidRPr="006951B7" w:rsidRDefault="00B90A1E" w:rsidP="0024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951B7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6951B7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603E81F9" w14:textId="77777777" w:rsidR="00805A89" w:rsidRPr="006951B7" w:rsidRDefault="00805A89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B7">
        <w:rPr>
          <w:rFonts w:ascii="Times New Roman" w:hAnsi="Times New Roman"/>
          <w:sz w:val="24"/>
          <w:szCs w:val="24"/>
        </w:rPr>
        <w:t>Любой неиспользованный препарат или отходы необходимо утилизировать в соответствии с требованиями местного законодательства.</w:t>
      </w:r>
    </w:p>
    <w:p w14:paraId="590D0CC4" w14:textId="77777777" w:rsidR="00386226" w:rsidRPr="006951B7" w:rsidRDefault="00386226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F96D7" w14:textId="77777777" w:rsidR="00724DB0" w:rsidRPr="006951B7" w:rsidRDefault="004200EA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51B7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6951B7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6951B7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6951B7">
        <w:rPr>
          <w:rFonts w:ascii="Times New Roman" w:hAnsi="Times New Roman"/>
          <w:b/>
          <w:bCs/>
          <w:sz w:val="24"/>
          <w:szCs w:val="24"/>
        </w:rPr>
        <w:t>а</w:t>
      </w:r>
      <w:r w:rsidRPr="006951B7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6951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3A9591" w14:textId="77777777" w:rsidR="004200EA" w:rsidRPr="006951B7" w:rsidRDefault="0018016B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51B7">
        <w:rPr>
          <w:rFonts w:ascii="Times New Roman" w:hAnsi="Times New Roman"/>
          <w:bCs/>
          <w:sz w:val="24"/>
          <w:szCs w:val="24"/>
        </w:rPr>
        <w:t xml:space="preserve">По </w:t>
      </w:r>
      <w:r w:rsidR="00724DB0" w:rsidRPr="006951B7">
        <w:rPr>
          <w:rFonts w:ascii="Times New Roman" w:hAnsi="Times New Roman"/>
          <w:bCs/>
          <w:sz w:val="24"/>
          <w:szCs w:val="24"/>
        </w:rPr>
        <w:t>рецепт</w:t>
      </w:r>
      <w:r w:rsidRPr="006951B7">
        <w:rPr>
          <w:rFonts w:ascii="Times New Roman" w:hAnsi="Times New Roman"/>
          <w:bCs/>
          <w:sz w:val="24"/>
          <w:szCs w:val="24"/>
        </w:rPr>
        <w:t>у</w:t>
      </w:r>
    </w:p>
    <w:p w14:paraId="45889EE3" w14:textId="77777777" w:rsidR="00D041C3" w:rsidRPr="006951B7" w:rsidRDefault="00D041C3" w:rsidP="00AE3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4441AF" w14:textId="77777777" w:rsidR="00120934" w:rsidRPr="006951B7" w:rsidRDefault="008407EF" w:rsidP="00AE31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6951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46989A89" w14:textId="77777777" w:rsidR="00A87EC0" w:rsidRPr="006951B7" w:rsidRDefault="00A87EC0" w:rsidP="00A87EC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951B7">
        <w:rPr>
          <w:rFonts w:ascii="Times New Roman" w:hAnsi="Times New Roman"/>
          <w:sz w:val="24"/>
        </w:rPr>
        <w:t xml:space="preserve">ТОО </w:t>
      </w:r>
      <w:r w:rsidR="00995471" w:rsidRPr="006951B7">
        <w:rPr>
          <w:rFonts w:ascii="Times New Roman" w:hAnsi="Times New Roman"/>
          <w:sz w:val="24"/>
        </w:rPr>
        <w:t>«</w:t>
      </w:r>
      <w:r w:rsidRPr="006951B7">
        <w:rPr>
          <w:rFonts w:ascii="Times New Roman" w:hAnsi="Times New Roman"/>
          <w:sz w:val="24"/>
        </w:rPr>
        <w:t>Rogers Pharma</w:t>
      </w:r>
      <w:r w:rsidR="00995471" w:rsidRPr="006951B7">
        <w:rPr>
          <w:rFonts w:ascii="Times New Roman" w:hAnsi="Times New Roman"/>
          <w:sz w:val="24"/>
        </w:rPr>
        <w:t>»</w:t>
      </w:r>
      <w:r w:rsidRPr="006951B7">
        <w:rPr>
          <w:rFonts w:ascii="Times New Roman" w:hAnsi="Times New Roman"/>
          <w:sz w:val="24"/>
        </w:rPr>
        <w:t>, Казахстан</w:t>
      </w:r>
    </w:p>
    <w:p w14:paraId="676D49F1" w14:textId="77777777" w:rsidR="00A87EC0" w:rsidRPr="006951B7" w:rsidRDefault="00A87EC0" w:rsidP="00A87EC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951B7">
        <w:rPr>
          <w:rFonts w:ascii="Times New Roman" w:hAnsi="Times New Roman"/>
          <w:sz w:val="24"/>
        </w:rPr>
        <w:t xml:space="preserve">050043, г. Алматы, мкн. </w:t>
      </w:r>
      <w:proofErr w:type="spellStart"/>
      <w:r w:rsidRPr="006951B7">
        <w:rPr>
          <w:rFonts w:ascii="Times New Roman" w:hAnsi="Times New Roman"/>
          <w:sz w:val="24"/>
        </w:rPr>
        <w:t>Мирас</w:t>
      </w:r>
      <w:proofErr w:type="spellEnd"/>
      <w:r w:rsidRPr="006951B7">
        <w:rPr>
          <w:rFonts w:ascii="Times New Roman" w:hAnsi="Times New Roman"/>
          <w:sz w:val="24"/>
        </w:rPr>
        <w:t xml:space="preserve">, </w:t>
      </w:r>
      <w:bookmarkStart w:id="16" w:name="_Hlk71038644"/>
      <w:r w:rsidRPr="006951B7">
        <w:rPr>
          <w:rFonts w:ascii="Times New Roman" w:hAnsi="Times New Roman"/>
          <w:sz w:val="24"/>
        </w:rPr>
        <w:t xml:space="preserve">д.157, блок 2, </w:t>
      </w:r>
      <w:proofErr w:type="spellStart"/>
      <w:r w:rsidRPr="006951B7">
        <w:rPr>
          <w:rFonts w:ascii="Times New Roman" w:hAnsi="Times New Roman"/>
          <w:sz w:val="24"/>
        </w:rPr>
        <w:t>н.п</w:t>
      </w:r>
      <w:proofErr w:type="spellEnd"/>
      <w:r w:rsidRPr="006951B7">
        <w:rPr>
          <w:rFonts w:ascii="Times New Roman" w:hAnsi="Times New Roman"/>
          <w:sz w:val="24"/>
        </w:rPr>
        <w:t>. 819</w:t>
      </w:r>
      <w:bookmarkEnd w:id="16"/>
    </w:p>
    <w:p w14:paraId="66BA8A06" w14:textId="77777777" w:rsidR="00A87EC0" w:rsidRPr="006951B7" w:rsidRDefault="00A87EC0" w:rsidP="00A87EC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951B7">
        <w:rPr>
          <w:rFonts w:ascii="Times New Roman" w:hAnsi="Times New Roman"/>
          <w:sz w:val="24"/>
        </w:rPr>
        <w:t>Тел. (727) 311-81-96/97,</w:t>
      </w:r>
    </w:p>
    <w:p w14:paraId="1D4E0277" w14:textId="77777777" w:rsidR="00A87EC0" w:rsidRPr="006951B7" w:rsidRDefault="00A87EC0" w:rsidP="00A87EC0">
      <w:pPr>
        <w:widowControl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6951B7">
        <w:rPr>
          <w:rFonts w:ascii="Times New Roman" w:hAnsi="Times New Roman"/>
          <w:sz w:val="24"/>
        </w:rPr>
        <w:t xml:space="preserve">электронный адрес: </w:t>
      </w:r>
      <w:r w:rsidRPr="006951B7">
        <w:rPr>
          <w:rFonts w:ascii="Times New Roman" w:hAnsi="Times New Roman"/>
          <w:sz w:val="24"/>
          <w:lang w:val="en-US"/>
        </w:rPr>
        <w:t>office</w:t>
      </w:r>
      <w:r w:rsidRPr="006951B7">
        <w:rPr>
          <w:rFonts w:ascii="Times New Roman" w:hAnsi="Times New Roman"/>
          <w:sz w:val="24"/>
        </w:rPr>
        <w:t>.</w:t>
      </w:r>
      <w:r w:rsidRPr="006951B7">
        <w:rPr>
          <w:rFonts w:ascii="Times New Roman" w:hAnsi="Times New Roman"/>
          <w:sz w:val="24"/>
          <w:lang w:val="en-US"/>
        </w:rPr>
        <w:t>secretary</w:t>
      </w:r>
      <w:r w:rsidRPr="006951B7">
        <w:rPr>
          <w:rFonts w:ascii="Times New Roman" w:hAnsi="Times New Roman"/>
          <w:sz w:val="24"/>
        </w:rPr>
        <w:t>@</w:t>
      </w:r>
      <w:proofErr w:type="spellStart"/>
      <w:r w:rsidRPr="006951B7">
        <w:rPr>
          <w:rFonts w:ascii="Times New Roman" w:hAnsi="Times New Roman"/>
          <w:sz w:val="24"/>
          <w:lang w:val="en-US"/>
        </w:rPr>
        <w:t>rogersgroup</w:t>
      </w:r>
      <w:proofErr w:type="spellEnd"/>
      <w:r w:rsidRPr="006951B7">
        <w:rPr>
          <w:rFonts w:ascii="Times New Roman" w:hAnsi="Times New Roman"/>
          <w:sz w:val="24"/>
        </w:rPr>
        <w:t>.</w:t>
      </w:r>
      <w:r w:rsidRPr="006951B7">
        <w:rPr>
          <w:rFonts w:ascii="Times New Roman" w:hAnsi="Times New Roman"/>
          <w:sz w:val="24"/>
          <w:lang w:val="en-US"/>
        </w:rPr>
        <w:t>in</w:t>
      </w:r>
    </w:p>
    <w:p w14:paraId="54C1537D" w14:textId="77777777" w:rsidR="00A87EC0" w:rsidRPr="006951B7" w:rsidRDefault="00A87EC0" w:rsidP="00A87EC0">
      <w:pPr>
        <w:tabs>
          <w:tab w:val="left" w:pos="284"/>
        </w:tabs>
        <w:autoSpaceDE w:val="0"/>
        <w:autoSpaceDN w:val="0"/>
        <w:spacing w:before="120" w:after="0" w:line="240" w:lineRule="auto"/>
        <w:jc w:val="both"/>
        <w:rPr>
          <w:rFonts w:ascii="Times New Roman Bold" w:eastAsia="Times New Roman" w:hAnsi="Times New Roman Bold"/>
          <w:b/>
          <w:sz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lang w:eastAsia="ru-RU"/>
        </w:rPr>
        <w:t>7.1. ПРЕДСТАВИТЕЛЬ ДЕРЖАТЕЛЯ РЕГИСТРАЦИОННОГО УДОСТОВЕРЕНИЯ</w:t>
      </w:r>
      <w:r w:rsidRPr="006951B7">
        <w:rPr>
          <w:rFonts w:ascii="Times New Roman Bold" w:eastAsia="Times New Roman" w:hAnsi="Times New Roman Bold"/>
          <w:b/>
          <w:sz w:val="24"/>
          <w:lang w:eastAsia="ru-RU"/>
        </w:rPr>
        <w:tab/>
      </w:r>
    </w:p>
    <w:p w14:paraId="17ACCE76" w14:textId="77777777" w:rsidR="00A87EC0" w:rsidRPr="006951B7" w:rsidRDefault="00A87EC0" w:rsidP="00A87EC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951B7">
        <w:rPr>
          <w:rFonts w:ascii="Times New Roman" w:hAnsi="Times New Roman"/>
          <w:sz w:val="24"/>
        </w:rPr>
        <w:t xml:space="preserve">ТОО </w:t>
      </w:r>
      <w:r w:rsidR="00995471" w:rsidRPr="006951B7">
        <w:rPr>
          <w:rFonts w:ascii="Times New Roman" w:hAnsi="Times New Roman"/>
          <w:sz w:val="24"/>
        </w:rPr>
        <w:t>«</w:t>
      </w:r>
      <w:r w:rsidRPr="006951B7">
        <w:rPr>
          <w:rFonts w:ascii="Times New Roman" w:hAnsi="Times New Roman"/>
          <w:sz w:val="24"/>
        </w:rPr>
        <w:t>Rogers Pharma</w:t>
      </w:r>
      <w:r w:rsidR="00995471" w:rsidRPr="006951B7">
        <w:rPr>
          <w:rFonts w:ascii="Times New Roman" w:hAnsi="Times New Roman"/>
          <w:sz w:val="24"/>
        </w:rPr>
        <w:t>»</w:t>
      </w:r>
      <w:r w:rsidRPr="006951B7">
        <w:rPr>
          <w:rFonts w:ascii="Times New Roman" w:hAnsi="Times New Roman"/>
          <w:sz w:val="24"/>
        </w:rPr>
        <w:t>, Казахстан</w:t>
      </w:r>
    </w:p>
    <w:p w14:paraId="5B79357F" w14:textId="77777777" w:rsidR="00A87EC0" w:rsidRPr="006951B7" w:rsidRDefault="00A87EC0" w:rsidP="00A87EC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951B7">
        <w:rPr>
          <w:rFonts w:ascii="Times New Roman" w:hAnsi="Times New Roman"/>
          <w:sz w:val="24"/>
        </w:rPr>
        <w:t xml:space="preserve">050043, г. Алматы, мкн. </w:t>
      </w:r>
      <w:proofErr w:type="spellStart"/>
      <w:r w:rsidRPr="006951B7">
        <w:rPr>
          <w:rFonts w:ascii="Times New Roman" w:hAnsi="Times New Roman"/>
          <w:sz w:val="24"/>
        </w:rPr>
        <w:t>Мирас</w:t>
      </w:r>
      <w:proofErr w:type="spellEnd"/>
      <w:r w:rsidRPr="006951B7">
        <w:rPr>
          <w:rFonts w:ascii="Times New Roman" w:hAnsi="Times New Roman"/>
          <w:sz w:val="24"/>
        </w:rPr>
        <w:t xml:space="preserve">, д.157, блок 2, </w:t>
      </w:r>
      <w:proofErr w:type="spellStart"/>
      <w:r w:rsidRPr="006951B7">
        <w:rPr>
          <w:rFonts w:ascii="Times New Roman" w:hAnsi="Times New Roman"/>
          <w:sz w:val="24"/>
        </w:rPr>
        <w:t>н.п</w:t>
      </w:r>
      <w:proofErr w:type="spellEnd"/>
      <w:r w:rsidRPr="006951B7">
        <w:rPr>
          <w:rFonts w:ascii="Times New Roman" w:hAnsi="Times New Roman"/>
          <w:sz w:val="24"/>
        </w:rPr>
        <w:t>. 819</w:t>
      </w:r>
    </w:p>
    <w:p w14:paraId="54061E8E" w14:textId="77777777" w:rsidR="00A87EC0" w:rsidRPr="006951B7" w:rsidRDefault="00A87EC0" w:rsidP="00A87EC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951B7">
        <w:rPr>
          <w:rFonts w:ascii="Times New Roman" w:hAnsi="Times New Roman"/>
          <w:sz w:val="24"/>
        </w:rPr>
        <w:t>Тел. (727) 311-81-96/97,</w:t>
      </w:r>
    </w:p>
    <w:p w14:paraId="09CF0A20" w14:textId="77777777" w:rsidR="00215CBB" w:rsidRPr="006951B7" w:rsidRDefault="00A87EC0" w:rsidP="00A87EC0">
      <w:pPr>
        <w:widowControl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6951B7">
        <w:rPr>
          <w:rFonts w:ascii="Times New Roman" w:hAnsi="Times New Roman"/>
          <w:sz w:val="24"/>
        </w:rPr>
        <w:t xml:space="preserve">электронный адрес: </w:t>
      </w:r>
      <w:r w:rsidRPr="006951B7">
        <w:rPr>
          <w:rFonts w:ascii="Times New Roman" w:hAnsi="Times New Roman"/>
          <w:sz w:val="24"/>
          <w:lang w:val="en-US"/>
        </w:rPr>
        <w:t>office</w:t>
      </w:r>
      <w:r w:rsidRPr="006951B7">
        <w:rPr>
          <w:rFonts w:ascii="Times New Roman" w:hAnsi="Times New Roman"/>
          <w:sz w:val="24"/>
        </w:rPr>
        <w:t>.</w:t>
      </w:r>
      <w:r w:rsidRPr="006951B7">
        <w:rPr>
          <w:rFonts w:ascii="Times New Roman" w:hAnsi="Times New Roman"/>
          <w:sz w:val="24"/>
          <w:lang w:val="en-US"/>
        </w:rPr>
        <w:t>secretary</w:t>
      </w:r>
      <w:r w:rsidRPr="006951B7">
        <w:rPr>
          <w:rFonts w:ascii="Times New Roman" w:hAnsi="Times New Roman"/>
          <w:sz w:val="24"/>
        </w:rPr>
        <w:t>@</w:t>
      </w:r>
      <w:proofErr w:type="spellStart"/>
      <w:r w:rsidRPr="006951B7">
        <w:rPr>
          <w:rFonts w:ascii="Times New Roman" w:hAnsi="Times New Roman"/>
          <w:sz w:val="24"/>
          <w:lang w:val="en-US"/>
        </w:rPr>
        <w:t>rogersgroup</w:t>
      </w:r>
      <w:proofErr w:type="spellEnd"/>
      <w:r w:rsidRPr="006951B7">
        <w:rPr>
          <w:rFonts w:ascii="Times New Roman" w:hAnsi="Times New Roman"/>
          <w:sz w:val="24"/>
        </w:rPr>
        <w:t>.</w:t>
      </w:r>
      <w:r w:rsidRPr="006951B7">
        <w:rPr>
          <w:rFonts w:ascii="Times New Roman" w:hAnsi="Times New Roman"/>
          <w:sz w:val="24"/>
          <w:lang w:val="en-US"/>
        </w:rPr>
        <w:t>in</w:t>
      </w:r>
    </w:p>
    <w:p w14:paraId="66C42D9D" w14:textId="77777777" w:rsidR="00215CBB" w:rsidRPr="006951B7" w:rsidRDefault="002511DF" w:rsidP="00AE31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0F16BE86" w14:textId="77777777" w:rsidR="00EA3BD2" w:rsidRPr="006951B7" w:rsidRDefault="009821C0" w:rsidP="00AE31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6951B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№ РК-ЛС-5№025883</w:t>
      </w:r>
    </w:p>
    <w:p w14:paraId="7697D007" w14:textId="77777777" w:rsidR="009821C0" w:rsidRPr="006951B7" w:rsidRDefault="009821C0" w:rsidP="00AE31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91482F8" w14:textId="77777777" w:rsidR="00593F7B" w:rsidRPr="006951B7" w:rsidRDefault="002511DF" w:rsidP="005446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951B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62F1499F" w14:textId="77777777" w:rsidR="00B91443" w:rsidRPr="006951B7" w:rsidRDefault="009821C0" w:rsidP="00AE31A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6951B7">
        <w:rPr>
          <w:rFonts w:eastAsia="Microsoft Sans Serif"/>
          <w:lang w:bidi="ru-RU"/>
        </w:rPr>
        <w:t>20.06.2022</w:t>
      </w:r>
    </w:p>
    <w:p w14:paraId="5DA23752" w14:textId="77777777" w:rsidR="009821C0" w:rsidRPr="006951B7" w:rsidRDefault="009821C0" w:rsidP="00AE31A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33312779" w14:textId="77777777" w:rsidR="00DF47EB" w:rsidRPr="006951B7" w:rsidRDefault="00DF47EB" w:rsidP="00AE31A4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6951B7">
        <w:rPr>
          <w:rFonts w:ascii="Times New Roman" w:hAnsi="Times New Roman"/>
          <w:b/>
          <w:sz w:val="24"/>
          <w:szCs w:val="24"/>
        </w:rPr>
        <w:t xml:space="preserve">10. </w:t>
      </w:r>
      <w:r w:rsidRPr="006951B7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7FC408E5" w14:textId="77777777" w:rsidR="00F40BDD" w:rsidRPr="006951B7" w:rsidRDefault="00F40BDD" w:rsidP="00AE31A4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1E964562" w14:textId="77777777" w:rsidR="00B91443" w:rsidRPr="005C1377" w:rsidRDefault="00B91443" w:rsidP="00AE31A4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6951B7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9" w:history="1">
        <w:r w:rsidRPr="006951B7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6951B7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6951B7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6951B7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6951B7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6951B7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6951B7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5C1377">
        <w:rPr>
          <w:rFonts w:ascii="Times New Roman" w:hAnsi="Times New Roman"/>
          <w:sz w:val="24"/>
          <w:szCs w:val="24"/>
        </w:rPr>
        <w:t xml:space="preserve"> </w:t>
      </w:r>
    </w:p>
    <w:p w14:paraId="05F094C0" w14:textId="333B1755" w:rsidR="00713F9D" w:rsidRDefault="00713F9D"/>
    <w:sectPr w:rsidR="00713F9D" w:rsidSect="00AE31A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215A" w14:textId="77777777" w:rsidR="00FC63A6" w:rsidRDefault="00FC63A6" w:rsidP="00D275FC">
      <w:pPr>
        <w:spacing w:after="0" w:line="240" w:lineRule="auto"/>
      </w:pPr>
      <w:r>
        <w:separator/>
      </w:r>
    </w:p>
  </w:endnote>
  <w:endnote w:type="continuationSeparator" w:id="0">
    <w:p w14:paraId="0D4A9D87" w14:textId="77777777" w:rsidR="00FC63A6" w:rsidRDefault="00FC63A6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 Bold">
    <w:altName w:val="News701 BT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1DAE" w14:textId="77777777" w:rsidR="009D472B" w:rsidRDefault="00FC63A6"/>
  <w:p w14:paraId="3C7A7A3F" w14:textId="77777777" w:rsidR="00713F9D" w:rsidRDefault="00FC63A6">
    <w:r>
      <w:rPr>
        <w:rFonts w:ascii="Times New Roman" w:eastAsia="Times New Roman" w:hAnsi="Times New Roman"/>
      </w:rPr>
      <w:t>Решение: N076868</w:t>
    </w:r>
    <w:r>
      <w:rPr>
        <w:rFonts w:ascii="Times New Roman" w:eastAsia="Times New Roman" w:hAnsi="Times New Roman"/>
      </w:rPr>
      <w:br/>
      <w:t>Дата решения: 15.07.2024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Кенжеханова</w:t>
    </w:r>
    <w:proofErr w:type="spellEnd"/>
    <w:r>
      <w:rPr>
        <w:rFonts w:ascii="Times New Roman" w:eastAsia="Times New Roman" w:hAnsi="Times New Roman"/>
      </w:rPr>
      <w:t xml:space="preserve"> А. Ж.</w:t>
    </w:r>
    <w:r>
      <w:rPr>
        <w:rFonts w:ascii="Times New Roman" w:eastAsia="Times New Roman" w:hAnsi="Times New Roman"/>
      </w:rPr>
      <w:br/>
      <w:t>(Комитет медицинского и фа</w:t>
    </w:r>
    <w:r>
      <w:rPr>
        <w:rFonts w:ascii="Times New Roman" w:eastAsia="Times New Roman" w:hAnsi="Times New Roman"/>
      </w:rPr>
      <w:t>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DFD4" w14:textId="77777777" w:rsidR="009D472B" w:rsidRDefault="00FC63A6"/>
  <w:p w14:paraId="407AA71A" w14:textId="1215FF12" w:rsidR="00713F9D" w:rsidRDefault="00713F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452C" w14:textId="77777777" w:rsidR="009D472B" w:rsidRDefault="00FC63A6"/>
  <w:p w14:paraId="79646B11" w14:textId="77777777" w:rsidR="00713F9D" w:rsidRDefault="00FC63A6">
    <w:r>
      <w:rPr>
        <w:rFonts w:ascii="Times New Roman" w:eastAsia="Times New Roman" w:hAnsi="Times New Roman"/>
      </w:rPr>
      <w:t>Решение: N076868</w:t>
    </w:r>
    <w:r>
      <w:rPr>
        <w:rFonts w:ascii="Times New Roman" w:eastAsia="Times New Roman" w:hAnsi="Times New Roman"/>
      </w:rPr>
      <w:br/>
      <w:t>Дата решения: 15.07.2024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Кенжеханова</w:t>
    </w:r>
    <w:proofErr w:type="spellEnd"/>
    <w:r>
      <w:rPr>
        <w:rFonts w:ascii="Times New Roman" w:eastAsia="Times New Roman" w:hAnsi="Times New Roman"/>
      </w:rPr>
      <w:t xml:space="preserve"> А. Ж.</w:t>
    </w:r>
    <w:r>
      <w:rPr>
        <w:rFonts w:ascii="Times New Roman" w:eastAsia="Times New Roman" w:hAnsi="Times New Roman"/>
      </w:rPr>
      <w:br/>
      <w:t xml:space="preserve">(Комитет медицинского и фармацевтического контроля Министерства здравоохранения Республики </w:t>
    </w:r>
    <w:r>
      <w:rPr>
        <w:rFonts w:ascii="Times New Roman" w:eastAsia="Times New Roman" w:hAnsi="Times New Roman"/>
      </w:rPr>
      <w:t>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9B9F" w14:textId="77777777" w:rsidR="00FC63A6" w:rsidRDefault="00FC63A6" w:rsidP="00D275FC">
      <w:pPr>
        <w:spacing w:after="0" w:line="240" w:lineRule="auto"/>
      </w:pPr>
      <w:r>
        <w:separator/>
      </w:r>
    </w:p>
  </w:footnote>
  <w:footnote w:type="continuationSeparator" w:id="0">
    <w:p w14:paraId="0E687EF5" w14:textId="77777777" w:rsidR="00FC63A6" w:rsidRDefault="00FC63A6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F1D1" w14:textId="77777777" w:rsidR="00D275FC" w:rsidRDefault="001D773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C53150" wp14:editId="7101BBE0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917D34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53150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6A917D34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Описание: Description: BT_1000x858px" style="width:18pt;height:12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0C6D11"/>
    <w:multiLevelType w:val="hybridMultilevel"/>
    <w:tmpl w:val="E9D89B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290498"/>
    <w:multiLevelType w:val="hybridMultilevel"/>
    <w:tmpl w:val="0C9E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6049F"/>
    <w:multiLevelType w:val="hybridMultilevel"/>
    <w:tmpl w:val="F3D854AC"/>
    <w:lvl w:ilvl="0" w:tplc="9A0ADC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E16C4"/>
    <w:multiLevelType w:val="hybridMultilevel"/>
    <w:tmpl w:val="CDEA4674"/>
    <w:lvl w:ilvl="0" w:tplc="5014744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33DD4"/>
    <w:multiLevelType w:val="hybridMultilevel"/>
    <w:tmpl w:val="4A6ED7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233B48"/>
    <w:multiLevelType w:val="hybridMultilevel"/>
    <w:tmpl w:val="232E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2049D"/>
    <w:rsid w:val="000264BB"/>
    <w:rsid w:val="00026A9C"/>
    <w:rsid w:val="00033FC1"/>
    <w:rsid w:val="00036F60"/>
    <w:rsid w:val="00042999"/>
    <w:rsid w:val="0005238D"/>
    <w:rsid w:val="00062B4B"/>
    <w:rsid w:val="00064E22"/>
    <w:rsid w:val="000761FB"/>
    <w:rsid w:val="0008458D"/>
    <w:rsid w:val="000852A1"/>
    <w:rsid w:val="000972E6"/>
    <w:rsid w:val="000A0D71"/>
    <w:rsid w:val="000A15B0"/>
    <w:rsid w:val="000A272B"/>
    <w:rsid w:val="000C02B2"/>
    <w:rsid w:val="000C28FE"/>
    <w:rsid w:val="000C2C4B"/>
    <w:rsid w:val="000C3EBE"/>
    <w:rsid w:val="000C4C48"/>
    <w:rsid w:val="000D02BE"/>
    <w:rsid w:val="000D0D96"/>
    <w:rsid w:val="000D184E"/>
    <w:rsid w:val="000D457D"/>
    <w:rsid w:val="000D7E39"/>
    <w:rsid w:val="000E01AB"/>
    <w:rsid w:val="000E153C"/>
    <w:rsid w:val="000E3634"/>
    <w:rsid w:val="000E3C65"/>
    <w:rsid w:val="000E49F0"/>
    <w:rsid w:val="000E6126"/>
    <w:rsid w:val="000E7820"/>
    <w:rsid w:val="00100406"/>
    <w:rsid w:val="00107A8A"/>
    <w:rsid w:val="00111788"/>
    <w:rsid w:val="001118E7"/>
    <w:rsid w:val="00120934"/>
    <w:rsid w:val="00123DB5"/>
    <w:rsid w:val="00125232"/>
    <w:rsid w:val="0013011C"/>
    <w:rsid w:val="00132B9A"/>
    <w:rsid w:val="001368AE"/>
    <w:rsid w:val="00144CCD"/>
    <w:rsid w:val="0014699B"/>
    <w:rsid w:val="0014739A"/>
    <w:rsid w:val="0015490C"/>
    <w:rsid w:val="001573E2"/>
    <w:rsid w:val="0016278D"/>
    <w:rsid w:val="00164E5D"/>
    <w:rsid w:val="00167CE8"/>
    <w:rsid w:val="0018016B"/>
    <w:rsid w:val="001872CE"/>
    <w:rsid w:val="001872D8"/>
    <w:rsid w:val="001937AD"/>
    <w:rsid w:val="001A2CB2"/>
    <w:rsid w:val="001A3A84"/>
    <w:rsid w:val="001B41FB"/>
    <w:rsid w:val="001B6AEC"/>
    <w:rsid w:val="001D0B84"/>
    <w:rsid w:val="001D7735"/>
    <w:rsid w:val="001E5E2A"/>
    <w:rsid w:val="001E6F4C"/>
    <w:rsid w:val="001F16AA"/>
    <w:rsid w:val="00200F3B"/>
    <w:rsid w:val="00203355"/>
    <w:rsid w:val="0020414E"/>
    <w:rsid w:val="00211005"/>
    <w:rsid w:val="0021309A"/>
    <w:rsid w:val="00215CBB"/>
    <w:rsid w:val="00217D41"/>
    <w:rsid w:val="002222A9"/>
    <w:rsid w:val="00222CA6"/>
    <w:rsid w:val="00232642"/>
    <w:rsid w:val="002362ED"/>
    <w:rsid w:val="00237697"/>
    <w:rsid w:val="00240487"/>
    <w:rsid w:val="002410EA"/>
    <w:rsid w:val="0024225F"/>
    <w:rsid w:val="00245C60"/>
    <w:rsid w:val="00250EDB"/>
    <w:rsid w:val="002511DF"/>
    <w:rsid w:val="00253209"/>
    <w:rsid w:val="00256E10"/>
    <w:rsid w:val="00260413"/>
    <w:rsid w:val="00260EBC"/>
    <w:rsid w:val="00264710"/>
    <w:rsid w:val="00264A6E"/>
    <w:rsid w:val="00264F8C"/>
    <w:rsid w:val="00265F38"/>
    <w:rsid w:val="00267567"/>
    <w:rsid w:val="00270705"/>
    <w:rsid w:val="00270B0A"/>
    <w:rsid w:val="00275C4D"/>
    <w:rsid w:val="00276B81"/>
    <w:rsid w:val="00280121"/>
    <w:rsid w:val="00281FBE"/>
    <w:rsid w:val="00284149"/>
    <w:rsid w:val="00290D2E"/>
    <w:rsid w:val="00292715"/>
    <w:rsid w:val="002A591C"/>
    <w:rsid w:val="002A682C"/>
    <w:rsid w:val="002B2C9E"/>
    <w:rsid w:val="002C10E1"/>
    <w:rsid w:val="002C15EB"/>
    <w:rsid w:val="002C1660"/>
    <w:rsid w:val="002C35A2"/>
    <w:rsid w:val="002C5345"/>
    <w:rsid w:val="002D179B"/>
    <w:rsid w:val="002D56B7"/>
    <w:rsid w:val="002D5CF6"/>
    <w:rsid w:val="002E04B7"/>
    <w:rsid w:val="002E0BAD"/>
    <w:rsid w:val="002E4BFD"/>
    <w:rsid w:val="002F2263"/>
    <w:rsid w:val="002F4A14"/>
    <w:rsid w:val="002F5D15"/>
    <w:rsid w:val="003043BF"/>
    <w:rsid w:val="003062AC"/>
    <w:rsid w:val="00320073"/>
    <w:rsid w:val="003214FF"/>
    <w:rsid w:val="003262DF"/>
    <w:rsid w:val="00332951"/>
    <w:rsid w:val="0034682B"/>
    <w:rsid w:val="0035099B"/>
    <w:rsid w:val="00356237"/>
    <w:rsid w:val="0036288F"/>
    <w:rsid w:val="00363F37"/>
    <w:rsid w:val="00365B10"/>
    <w:rsid w:val="00367BA7"/>
    <w:rsid w:val="00371DF5"/>
    <w:rsid w:val="00372082"/>
    <w:rsid w:val="003761C0"/>
    <w:rsid w:val="00381140"/>
    <w:rsid w:val="003812B2"/>
    <w:rsid w:val="00383CDB"/>
    <w:rsid w:val="00384EFD"/>
    <w:rsid w:val="0038595A"/>
    <w:rsid w:val="00386226"/>
    <w:rsid w:val="003879F9"/>
    <w:rsid w:val="003976C7"/>
    <w:rsid w:val="003A035E"/>
    <w:rsid w:val="003A4279"/>
    <w:rsid w:val="003A577F"/>
    <w:rsid w:val="003B0285"/>
    <w:rsid w:val="003C07E3"/>
    <w:rsid w:val="003C1AA4"/>
    <w:rsid w:val="003C659E"/>
    <w:rsid w:val="003C7B7E"/>
    <w:rsid w:val="003D1A7F"/>
    <w:rsid w:val="003D1C3F"/>
    <w:rsid w:val="003E13CF"/>
    <w:rsid w:val="003E4F5E"/>
    <w:rsid w:val="003F2198"/>
    <w:rsid w:val="003F423E"/>
    <w:rsid w:val="003F47F8"/>
    <w:rsid w:val="003F5344"/>
    <w:rsid w:val="003F7EDC"/>
    <w:rsid w:val="00404548"/>
    <w:rsid w:val="0041162E"/>
    <w:rsid w:val="004125D8"/>
    <w:rsid w:val="004200EA"/>
    <w:rsid w:val="00425EA8"/>
    <w:rsid w:val="0042786D"/>
    <w:rsid w:val="00433835"/>
    <w:rsid w:val="00433C62"/>
    <w:rsid w:val="0043556C"/>
    <w:rsid w:val="00442949"/>
    <w:rsid w:val="004528E1"/>
    <w:rsid w:val="00452F3C"/>
    <w:rsid w:val="00456F01"/>
    <w:rsid w:val="00467197"/>
    <w:rsid w:val="00472EF5"/>
    <w:rsid w:val="004813F7"/>
    <w:rsid w:val="00482317"/>
    <w:rsid w:val="0048389C"/>
    <w:rsid w:val="004839DB"/>
    <w:rsid w:val="0048687C"/>
    <w:rsid w:val="0049318D"/>
    <w:rsid w:val="00494D8B"/>
    <w:rsid w:val="004951BD"/>
    <w:rsid w:val="004A22E9"/>
    <w:rsid w:val="004A2C21"/>
    <w:rsid w:val="004A31B4"/>
    <w:rsid w:val="004A428C"/>
    <w:rsid w:val="004A7038"/>
    <w:rsid w:val="004C1922"/>
    <w:rsid w:val="004C2640"/>
    <w:rsid w:val="004C462F"/>
    <w:rsid w:val="004C6613"/>
    <w:rsid w:val="004D0928"/>
    <w:rsid w:val="004D49E9"/>
    <w:rsid w:val="004D4C50"/>
    <w:rsid w:val="004F45AC"/>
    <w:rsid w:val="004F602D"/>
    <w:rsid w:val="00506C9D"/>
    <w:rsid w:val="005071DA"/>
    <w:rsid w:val="00513189"/>
    <w:rsid w:val="00523D82"/>
    <w:rsid w:val="005313FF"/>
    <w:rsid w:val="00534F94"/>
    <w:rsid w:val="00541A00"/>
    <w:rsid w:val="00543264"/>
    <w:rsid w:val="005444B2"/>
    <w:rsid w:val="005446CA"/>
    <w:rsid w:val="00552F31"/>
    <w:rsid w:val="00552F8B"/>
    <w:rsid w:val="00561FE7"/>
    <w:rsid w:val="00566737"/>
    <w:rsid w:val="00567153"/>
    <w:rsid w:val="00575348"/>
    <w:rsid w:val="005869C5"/>
    <w:rsid w:val="005921EA"/>
    <w:rsid w:val="005924F5"/>
    <w:rsid w:val="00593F7B"/>
    <w:rsid w:val="00595D11"/>
    <w:rsid w:val="00596DDE"/>
    <w:rsid w:val="005A3C81"/>
    <w:rsid w:val="005A5680"/>
    <w:rsid w:val="005A6639"/>
    <w:rsid w:val="005A6914"/>
    <w:rsid w:val="005B16E0"/>
    <w:rsid w:val="005B3580"/>
    <w:rsid w:val="005B3FFE"/>
    <w:rsid w:val="005B4929"/>
    <w:rsid w:val="005C1377"/>
    <w:rsid w:val="005C1519"/>
    <w:rsid w:val="005C1C4E"/>
    <w:rsid w:val="005C4994"/>
    <w:rsid w:val="005C4A16"/>
    <w:rsid w:val="005D66F3"/>
    <w:rsid w:val="005D68C6"/>
    <w:rsid w:val="005D7EE3"/>
    <w:rsid w:val="005E2289"/>
    <w:rsid w:val="005E50DE"/>
    <w:rsid w:val="005E7569"/>
    <w:rsid w:val="005E76DA"/>
    <w:rsid w:val="005F43B6"/>
    <w:rsid w:val="005F7097"/>
    <w:rsid w:val="0060364A"/>
    <w:rsid w:val="00604FC8"/>
    <w:rsid w:val="00617843"/>
    <w:rsid w:val="00620F34"/>
    <w:rsid w:val="00621F49"/>
    <w:rsid w:val="00622207"/>
    <w:rsid w:val="00624C1B"/>
    <w:rsid w:val="00624FAE"/>
    <w:rsid w:val="00625471"/>
    <w:rsid w:val="0062661D"/>
    <w:rsid w:val="00627853"/>
    <w:rsid w:val="00632571"/>
    <w:rsid w:val="00634D0C"/>
    <w:rsid w:val="00635827"/>
    <w:rsid w:val="0065148D"/>
    <w:rsid w:val="00652BCE"/>
    <w:rsid w:val="00652E29"/>
    <w:rsid w:val="00653617"/>
    <w:rsid w:val="00667A80"/>
    <w:rsid w:val="0067136B"/>
    <w:rsid w:val="00671A0D"/>
    <w:rsid w:val="006738BA"/>
    <w:rsid w:val="00691208"/>
    <w:rsid w:val="006951B7"/>
    <w:rsid w:val="006A23C4"/>
    <w:rsid w:val="006A702E"/>
    <w:rsid w:val="006B1751"/>
    <w:rsid w:val="006B7A90"/>
    <w:rsid w:val="006C5F38"/>
    <w:rsid w:val="006D5986"/>
    <w:rsid w:val="006D7D5A"/>
    <w:rsid w:val="006E4305"/>
    <w:rsid w:val="006F0F79"/>
    <w:rsid w:val="006F5763"/>
    <w:rsid w:val="00704BAB"/>
    <w:rsid w:val="007104D1"/>
    <w:rsid w:val="007135A6"/>
    <w:rsid w:val="00713E56"/>
    <w:rsid w:val="00713F9D"/>
    <w:rsid w:val="0071796E"/>
    <w:rsid w:val="00724DB0"/>
    <w:rsid w:val="00726BD3"/>
    <w:rsid w:val="00730461"/>
    <w:rsid w:val="00733A73"/>
    <w:rsid w:val="00746FF2"/>
    <w:rsid w:val="007479AE"/>
    <w:rsid w:val="007578AC"/>
    <w:rsid w:val="00761133"/>
    <w:rsid w:val="00764E84"/>
    <w:rsid w:val="007670A1"/>
    <w:rsid w:val="007762F8"/>
    <w:rsid w:val="00783520"/>
    <w:rsid w:val="0078568D"/>
    <w:rsid w:val="00791279"/>
    <w:rsid w:val="007914A1"/>
    <w:rsid w:val="0079234E"/>
    <w:rsid w:val="007953CA"/>
    <w:rsid w:val="007A02D3"/>
    <w:rsid w:val="007A18B1"/>
    <w:rsid w:val="007B011E"/>
    <w:rsid w:val="007B202A"/>
    <w:rsid w:val="007C055A"/>
    <w:rsid w:val="007C1693"/>
    <w:rsid w:val="007D0E84"/>
    <w:rsid w:val="007D681B"/>
    <w:rsid w:val="007E1D85"/>
    <w:rsid w:val="007F4111"/>
    <w:rsid w:val="00802728"/>
    <w:rsid w:val="00803517"/>
    <w:rsid w:val="00804A48"/>
    <w:rsid w:val="00805A89"/>
    <w:rsid w:val="008106A7"/>
    <w:rsid w:val="0081154A"/>
    <w:rsid w:val="00814DFC"/>
    <w:rsid w:val="0081542F"/>
    <w:rsid w:val="00820B36"/>
    <w:rsid w:val="00827BB2"/>
    <w:rsid w:val="008329DA"/>
    <w:rsid w:val="00832A7E"/>
    <w:rsid w:val="008330E7"/>
    <w:rsid w:val="008353A4"/>
    <w:rsid w:val="008407EF"/>
    <w:rsid w:val="008418F5"/>
    <w:rsid w:val="008451C8"/>
    <w:rsid w:val="00847154"/>
    <w:rsid w:val="008545D4"/>
    <w:rsid w:val="00862FA8"/>
    <w:rsid w:val="00863B29"/>
    <w:rsid w:val="00866195"/>
    <w:rsid w:val="0086657B"/>
    <w:rsid w:val="0087104B"/>
    <w:rsid w:val="0087305B"/>
    <w:rsid w:val="00874243"/>
    <w:rsid w:val="00874B0D"/>
    <w:rsid w:val="0087729B"/>
    <w:rsid w:val="00877530"/>
    <w:rsid w:val="008832E5"/>
    <w:rsid w:val="008872AB"/>
    <w:rsid w:val="00891EB8"/>
    <w:rsid w:val="0089401D"/>
    <w:rsid w:val="00895628"/>
    <w:rsid w:val="00897669"/>
    <w:rsid w:val="008B3713"/>
    <w:rsid w:val="008C0181"/>
    <w:rsid w:val="008C3C39"/>
    <w:rsid w:val="008C6434"/>
    <w:rsid w:val="008D0B8D"/>
    <w:rsid w:val="008D4451"/>
    <w:rsid w:val="008D4F2B"/>
    <w:rsid w:val="008D62B7"/>
    <w:rsid w:val="008E19AE"/>
    <w:rsid w:val="008E6895"/>
    <w:rsid w:val="008F0721"/>
    <w:rsid w:val="008F453B"/>
    <w:rsid w:val="008F742A"/>
    <w:rsid w:val="00900B3C"/>
    <w:rsid w:val="00904FB5"/>
    <w:rsid w:val="0091136C"/>
    <w:rsid w:val="009128A3"/>
    <w:rsid w:val="00917590"/>
    <w:rsid w:val="00923B7C"/>
    <w:rsid w:val="00925BD7"/>
    <w:rsid w:val="00930D7D"/>
    <w:rsid w:val="009317AA"/>
    <w:rsid w:val="00936B34"/>
    <w:rsid w:val="00937F96"/>
    <w:rsid w:val="00943B73"/>
    <w:rsid w:val="0095047E"/>
    <w:rsid w:val="00956101"/>
    <w:rsid w:val="00956C30"/>
    <w:rsid w:val="00957BAF"/>
    <w:rsid w:val="00962CD6"/>
    <w:rsid w:val="00974EE1"/>
    <w:rsid w:val="0097636D"/>
    <w:rsid w:val="00980ED0"/>
    <w:rsid w:val="009821C0"/>
    <w:rsid w:val="00985916"/>
    <w:rsid w:val="00986783"/>
    <w:rsid w:val="00986E85"/>
    <w:rsid w:val="00993A60"/>
    <w:rsid w:val="00995471"/>
    <w:rsid w:val="00997D8C"/>
    <w:rsid w:val="009B014E"/>
    <w:rsid w:val="009D13A5"/>
    <w:rsid w:val="009D2377"/>
    <w:rsid w:val="009D3875"/>
    <w:rsid w:val="009D67EC"/>
    <w:rsid w:val="009D71D5"/>
    <w:rsid w:val="009E2887"/>
    <w:rsid w:val="009E56D6"/>
    <w:rsid w:val="009E5CB9"/>
    <w:rsid w:val="009F07F5"/>
    <w:rsid w:val="009F1119"/>
    <w:rsid w:val="009F22EA"/>
    <w:rsid w:val="009F31F2"/>
    <w:rsid w:val="009F45A5"/>
    <w:rsid w:val="009F5A85"/>
    <w:rsid w:val="009F5B20"/>
    <w:rsid w:val="009F72B0"/>
    <w:rsid w:val="00A01C2E"/>
    <w:rsid w:val="00A02BB2"/>
    <w:rsid w:val="00A04052"/>
    <w:rsid w:val="00A06AD6"/>
    <w:rsid w:val="00A0709E"/>
    <w:rsid w:val="00A074C5"/>
    <w:rsid w:val="00A07B7D"/>
    <w:rsid w:val="00A12563"/>
    <w:rsid w:val="00A2498C"/>
    <w:rsid w:val="00A26BB4"/>
    <w:rsid w:val="00A300B9"/>
    <w:rsid w:val="00A30A1E"/>
    <w:rsid w:val="00A31019"/>
    <w:rsid w:val="00A5580C"/>
    <w:rsid w:val="00A64240"/>
    <w:rsid w:val="00A7536F"/>
    <w:rsid w:val="00A75B8F"/>
    <w:rsid w:val="00A8360A"/>
    <w:rsid w:val="00A84EA1"/>
    <w:rsid w:val="00A87EC0"/>
    <w:rsid w:val="00AA4618"/>
    <w:rsid w:val="00AA5275"/>
    <w:rsid w:val="00AA5E2F"/>
    <w:rsid w:val="00AA7317"/>
    <w:rsid w:val="00AC2C0B"/>
    <w:rsid w:val="00AC4905"/>
    <w:rsid w:val="00AD5DA4"/>
    <w:rsid w:val="00AE31A4"/>
    <w:rsid w:val="00AE7922"/>
    <w:rsid w:val="00AF056B"/>
    <w:rsid w:val="00B01011"/>
    <w:rsid w:val="00B05BD1"/>
    <w:rsid w:val="00B10089"/>
    <w:rsid w:val="00B21CF0"/>
    <w:rsid w:val="00B22E50"/>
    <w:rsid w:val="00B26ED6"/>
    <w:rsid w:val="00B4346F"/>
    <w:rsid w:val="00B46F30"/>
    <w:rsid w:val="00B608C1"/>
    <w:rsid w:val="00B60D3D"/>
    <w:rsid w:val="00B61D95"/>
    <w:rsid w:val="00B7231F"/>
    <w:rsid w:val="00B83F36"/>
    <w:rsid w:val="00B90A1E"/>
    <w:rsid w:val="00B91443"/>
    <w:rsid w:val="00B9187F"/>
    <w:rsid w:val="00BA2BF3"/>
    <w:rsid w:val="00BB111F"/>
    <w:rsid w:val="00BB3050"/>
    <w:rsid w:val="00BB5008"/>
    <w:rsid w:val="00BB7831"/>
    <w:rsid w:val="00BC31BC"/>
    <w:rsid w:val="00BC6167"/>
    <w:rsid w:val="00BC6A01"/>
    <w:rsid w:val="00BE198F"/>
    <w:rsid w:val="00BE4435"/>
    <w:rsid w:val="00BE6B71"/>
    <w:rsid w:val="00C07BB3"/>
    <w:rsid w:val="00C1061D"/>
    <w:rsid w:val="00C153F2"/>
    <w:rsid w:val="00C2000E"/>
    <w:rsid w:val="00C2388B"/>
    <w:rsid w:val="00C3281F"/>
    <w:rsid w:val="00C379C9"/>
    <w:rsid w:val="00C408E4"/>
    <w:rsid w:val="00C422B8"/>
    <w:rsid w:val="00C566D6"/>
    <w:rsid w:val="00C64513"/>
    <w:rsid w:val="00C71527"/>
    <w:rsid w:val="00C71E57"/>
    <w:rsid w:val="00C764D9"/>
    <w:rsid w:val="00C77910"/>
    <w:rsid w:val="00C839ED"/>
    <w:rsid w:val="00C84299"/>
    <w:rsid w:val="00C92F14"/>
    <w:rsid w:val="00C94B98"/>
    <w:rsid w:val="00C97365"/>
    <w:rsid w:val="00CA4C1A"/>
    <w:rsid w:val="00CC08BA"/>
    <w:rsid w:val="00CC330A"/>
    <w:rsid w:val="00CC5727"/>
    <w:rsid w:val="00CC7DBD"/>
    <w:rsid w:val="00CD6935"/>
    <w:rsid w:val="00CE03ED"/>
    <w:rsid w:val="00CE0F4C"/>
    <w:rsid w:val="00CE7F7F"/>
    <w:rsid w:val="00CF3849"/>
    <w:rsid w:val="00CF495B"/>
    <w:rsid w:val="00CF7305"/>
    <w:rsid w:val="00D0233C"/>
    <w:rsid w:val="00D036C7"/>
    <w:rsid w:val="00D041C3"/>
    <w:rsid w:val="00D11462"/>
    <w:rsid w:val="00D14D61"/>
    <w:rsid w:val="00D21A58"/>
    <w:rsid w:val="00D22A47"/>
    <w:rsid w:val="00D24C2B"/>
    <w:rsid w:val="00D25CB4"/>
    <w:rsid w:val="00D275FC"/>
    <w:rsid w:val="00D3279D"/>
    <w:rsid w:val="00D3576E"/>
    <w:rsid w:val="00D4244C"/>
    <w:rsid w:val="00D43297"/>
    <w:rsid w:val="00D448E6"/>
    <w:rsid w:val="00D46B0B"/>
    <w:rsid w:val="00D55ED8"/>
    <w:rsid w:val="00D60C5A"/>
    <w:rsid w:val="00D70DB6"/>
    <w:rsid w:val="00D723BC"/>
    <w:rsid w:val="00D73433"/>
    <w:rsid w:val="00D76048"/>
    <w:rsid w:val="00D82298"/>
    <w:rsid w:val="00D831C2"/>
    <w:rsid w:val="00D860A6"/>
    <w:rsid w:val="00D93C80"/>
    <w:rsid w:val="00D95003"/>
    <w:rsid w:val="00D955C4"/>
    <w:rsid w:val="00D9686A"/>
    <w:rsid w:val="00D96A8F"/>
    <w:rsid w:val="00DA16F7"/>
    <w:rsid w:val="00DB406A"/>
    <w:rsid w:val="00DB4F15"/>
    <w:rsid w:val="00DB7FB0"/>
    <w:rsid w:val="00DD5E3A"/>
    <w:rsid w:val="00DE1FB2"/>
    <w:rsid w:val="00DE4FC7"/>
    <w:rsid w:val="00DE500C"/>
    <w:rsid w:val="00DF11A7"/>
    <w:rsid w:val="00DF3381"/>
    <w:rsid w:val="00DF47EB"/>
    <w:rsid w:val="00E0235C"/>
    <w:rsid w:val="00E211ED"/>
    <w:rsid w:val="00E258FA"/>
    <w:rsid w:val="00E271CB"/>
    <w:rsid w:val="00E301D0"/>
    <w:rsid w:val="00E317B2"/>
    <w:rsid w:val="00E32AF0"/>
    <w:rsid w:val="00E33FE3"/>
    <w:rsid w:val="00E34FE3"/>
    <w:rsid w:val="00E403FE"/>
    <w:rsid w:val="00E47E48"/>
    <w:rsid w:val="00E55D6C"/>
    <w:rsid w:val="00E57396"/>
    <w:rsid w:val="00E65363"/>
    <w:rsid w:val="00E71CB3"/>
    <w:rsid w:val="00E75FFF"/>
    <w:rsid w:val="00E81A1B"/>
    <w:rsid w:val="00E81A86"/>
    <w:rsid w:val="00E84305"/>
    <w:rsid w:val="00E85A7A"/>
    <w:rsid w:val="00E8607B"/>
    <w:rsid w:val="00E87E04"/>
    <w:rsid w:val="00E91073"/>
    <w:rsid w:val="00E91DA2"/>
    <w:rsid w:val="00E93583"/>
    <w:rsid w:val="00EA2F86"/>
    <w:rsid w:val="00EA303C"/>
    <w:rsid w:val="00EA3BD2"/>
    <w:rsid w:val="00EA4D6E"/>
    <w:rsid w:val="00EA6837"/>
    <w:rsid w:val="00EA6D39"/>
    <w:rsid w:val="00EB1D97"/>
    <w:rsid w:val="00EB32A3"/>
    <w:rsid w:val="00EB41C1"/>
    <w:rsid w:val="00EB6F2E"/>
    <w:rsid w:val="00EC480E"/>
    <w:rsid w:val="00EC4E42"/>
    <w:rsid w:val="00EC761C"/>
    <w:rsid w:val="00ED36F7"/>
    <w:rsid w:val="00EE04FB"/>
    <w:rsid w:val="00EE2064"/>
    <w:rsid w:val="00EF146E"/>
    <w:rsid w:val="00EF2BAC"/>
    <w:rsid w:val="00EF4C53"/>
    <w:rsid w:val="00F006F1"/>
    <w:rsid w:val="00F01FEC"/>
    <w:rsid w:val="00F02DBB"/>
    <w:rsid w:val="00F05540"/>
    <w:rsid w:val="00F07B7B"/>
    <w:rsid w:val="00F23B95"/>
    <w:rsid w:val="00F34699"/>
    <w:rsid w:val="00F40388"/>
    <w:rsid w:val="00F40BDD"/>
    <w:rsid w:val="00F42D3C"/>
    <w:rsid w:val="00F454C5"/>
    <w:rsid w:val="00F503E0"/>
    <w:rsid w:val="00F50C40"/>
    <w:rsid w:val="00F54B69"/>
    <w:rsid w:val="00F56F75"/>
    <w:rsid w:val="00F6012B"/>
    <w:rsid w:val="00F63389"/>
    <w:rsid w:val="00F65921"/>
    <w:rsid w:val="00F665E0"/>
    <w:rsid w:val="00F80143"/>
    <w:rsid w:val="00F91977"/>
    <w:rsid w:val="00F97B57"/>
    <w:rsid w:val="00FA4F7C"/>
    <w:rsid w:val="00FB0456"/>
    <w:rsid w:val="00FB47F4"/>
    <w:rsid w:val="00FB5EA1"/>
    <w:rsid w:val="00FC17F4"/>
    <w:rsid w:val="00FC63A6"/>
    <w:rsid w:val="00FD2B12"/>
    <w:rsid w:val="00FD2B9F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C9854"/>
  <w15:docId w15:val="{A29B0B0F-B600-49C9-BA86-BCA2239C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5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uiPriority w:val="99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E0F4C"/>
    <w:rPr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621F49"/>
    <w:pPr>
      <w:spacing w:after="0" w:line="360" w:lineRule="auto"/>
      <w:ind w:right="471" w:firstLine="709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545D4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customStyle="1" w:styleId="BlockText1">
    <w:name w:val="Block Text1"/>
    <w:basedOn w:val="a"/>
    <w:rsid w:val="00E47E48"/>
    <w:pPr>
      <w:widowControl w:val="0"/>
      <w:overflowPunct w:val="0"/>
      <w:autoSpaceDE w:val="0"/>
      <w:autoSpaceDN w:val="0"/>
      <w:adjustRightInd w:val="0"/>
      <w:spacing w:after="0" w:line="240" w:lineRule="auto"/>
      <w:ind w:left="1440" w:right="-766"/>
      <w:textAlignment w:val="baseline"/>
    </w:pPr>
    <w:rPr>
      <w:rFonts w:ascii="Times New Roman" w:eastAsia="Times New Roman" w:hAnsi="Times New Roman"/>
      <w:snapToGrid w:val="0"/>
      <w:color w:val="000000"/>
      <w:sz w:val="24"/>
      <w:szCs w:val="20"/>
    </w:rPr>
  </w:style>
  <w:style w:type="paragraph" w:customStyle="1" w:styleId="BodyText21">
    <w:name w:val="Body Text 21"/>
    <w:basedOn w:val="a"/>
    <w:rsid w:val="00E47E48"/>
    <w:pPr>
      <w:spacing w:after="0" w:line="240" w:lineRule="auto"/>
      <w:ind w:left="709"/>
    </w:pPr>
    <w:rPr>
      <w:rFonts w:ascii="Arial" w:eastAsia="Times New Roman" w:hAnsi="Arial" w:cs="Arial"/>
      <w:color w:val="000000"/>
      <w:sz w:val="24"/>
      <w:szCs w:val="20"/>
      <w:lang w:val="en-GB" w:eastAsia="de-DE"/>
    </w:rPr>
  </w:style>
  <w:style w:type="paragraph" w:styleId="33">
    <w:name w:val="Body Text 3"/>
    <w:basedOn w:val="a"/>
    <w:link w:val="34"/>
    <w:uiPriority w:val="99"/>
    <w:unhideWhenUsed/>
    <w:rsid w:val="00E47E48"/>
    <w:pPr>
      <w:spacing w:after="120" w:line="240" w:lineRule="auto"/>
    </w:pPr>
    <w:rPr>
      <w:rFonts w:ascii="Times New Roman" w:eastAsia="Times New Roman" w:hAnsi="Times New Roman"/>
      <w:color w:val="000000"/>
      <w:sz w:val="16"/>
      <w:szCs w:val="16"/>
      <w:lang w:val="en-GB" w:eastAsia="de-DE"/>
    </w:rPr>
  </w:style>
  <w:style w:type="character" w:customStyle="1" w:styleId="34">
    <w:name w:val="Основной текст 3 Знак"/>
    <w:basedOn w:val="a0"/>
    <w:link w:val="33"/>
    <w:uiPriority w:val="99"/>
    <w:rsid w:val="00E47E48"/>
    <w:rPr>
      <w:rFonts w:ascii="Times New Roman" w:eastAsia="Times New Roman" w:hAnsi="Times New Roman"/>
      <w:color w:val="000000"/>
      <w:sz w:val="16"/>
      <w:szCs w:val="16"/>
      <w:lang w:val="en-GB" w:eastAsia="de-DE"/>
    </w:rPr>
  </w:style>
  <w:style w:type="table" w:styleId="afa">
    <w:name w:val="Table Grid"/>
    <w:basedOn w:val="a1"/>
    <w:uiPriority w:val="59"/>
    <w:rsid w:val="00E3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mcorpstexte">
    <w:name w:val="ammcorpstexte"/>
    <w:basedOn w:val="a"/>
    <w:rsid w:val="00943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dda.kz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ACF8-C664-4F60-BBD9-C4CCDB18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12</Pages>
  <Words>4341</Words>
  <Characters>24748</Characters>
  <Application>Microsoft Office Word</Application>
  <DocSecurity>0</DocSecurity>
  <Lines>206</Lines>
  <Paragraphs>58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JSC Farmak</Company>
  <LinksUpToDate>false</LinksUpToDate>
  <CharactersWithSpaces>29031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2687060</vt:i4>
      </vt:variant>
      <vt:variant>
        <vt:i4>6</vt:i4>
      </vt:variant>
      <vt:variant>
        <vt:i4>0</vt:i4>
      </vt:variant>
      <vt:variant>
        <vt:i4>5</vt:i4>
      </vt:variant>
      <vt:variant>
        <vt:lpwstr>mailto:DSO-KZ@takeda.com</vt:lpwstr>
      </vt:variant>
      <vt:variant>
        <vt:lpwstr/>
      </vt:variant>
      <vt:variant>
        <vt:i4>3473527</vt:i4>
      </vt:variant>
      <vt:variant>
        <vt:i4>3</vt:i4>
      </vt:variant>
      <vt:variant>
        <vt:i4>0</vt:i4>
      </vt:variant>
      <vt:variant>
        <vt:i4>5</vt:i4>
      </vt:variant>
      <vt:variant>
        <vt:lpwstr>http://www.norgine.com/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29</cp:revision>
  <cp:lastPrinted>2019-11-18T06:17:00Z</cp:lastPrinted>
  <dcterms:created xsi:type="dcterms:W3CDTF">2022-01-19T04:16:00Z</dcterms:created>
  <dcterms:modified xsi:type="dcterms:W3CDTF">2025-06-17T11:09:00Z</dcterms:modified>
</cp:coreProperties>
</file>